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
    <w:p>
      <w:pPr>
        <w:jc w:val="center"/>
      </w:pPr>
      <w:r>
        <w:drawing>
          <wp:inline xmlns:a="http://schemas.openxmlformats.org/drawingml/2006/main" xmlns:pic="http://schemas.openxmlformats.org/drawingml/2006/picture">
            <wp:extent cx="1325880" cy="1325880"/>
            <wp:docPr id="1" name="Picture 1" descr="Delphi App Translation Studio application icon" title="Delphi App Translation Studio"/>
            <wp:cNvGraphicFramePr>
              <a:graphicFrameLocks noChangeAspect="1"/>
            </wp:cNvGraphicFramePr>
            <a:graphic>
              <a:graphicData uri="http://schemas.openxmlformats.org/drawingml/2006/picture">
                <pic:pic>
                  <pic:nvPicPr>
                    <pic:cNvPr id="0" name="DelphiAppTranslationStudio-Icon-Master-v2_150.png"/>
                    <pic:cNvPicPr/>
                  </pic:nvPicPr>
                  <pic:blipFill>
                    <a:blip r:embed="rId11"/>
                    <a:stretch>
                      <a:fillRect/>
                    </a:stretch>
                  </pic:blipFill>
                  <pic:spPr>
                    <a:xfrm>
                      <a:off x="0" y="0"/>
                      <a:ext cx="1325880" cy="1325880"/>
                    </a:xfrm>
                    <a:prstGeom prst="rect"/>
                  </pic:spPr>
                </pic:pic>
              </a:graphicData>
            </a:graphic>
          </wp:inline>
        </w:drawing>
      </w:r>
    </w:p>
    <w:p>
      <w:pPr>
        <w:pStyle w:val="Title"/>
        <w:jc w:val="center"/>
      </w:pPr>
      <w:r>
        <w:t>Complete Test Guide</w:t>
      </w:r>
    </w:p>
    <w:p>
      <w:pPr>
        <w:pStyle w:val="Subtitle"/>
        <w:jc w:val="center"/>
      </w:pPr>
      <w:r>
        <w:t>Delphi App Translation Studio</w:t>
      </w:r>
    </w:p>
    <w:tbl>
      <w:tblPr>
        <w:jc w:val="center"/>
        <w:tblLook w:firstColumn="1" w:firstRow="1" w:lastColumn="0" w:lastRow="0" w:noHBand="0" w:noVBand="1" w:val="04A0"/>
        <w:tblW w:w="9360" w:type="dxa"/>
        <w:tblInd w:w="0" w:type="dxa"/>
        <w:tblLayout w:type="fixed"/>
        <w:tblCellMar>
          <w:top w:w="80" w:type="dxa"/>
          <w:bottom w:w="80" w:type="dxa"/>
          <w:start w:w="120" w:type="dxa"/>
          <w:end w:w="120" w:type="dxa"/>
        </w:tblCellMar>
      </w:tblPr>
      <w:tblGrid>
        <w:gridCol w:w="4680"/>
        <w:gridCol w:w="4680"/>
      </w:tblGrid>
      <w:tr>
        <w:trPr>
          <w:tblHeader w:val="false"/>
        </w:trPr>
        <w:tc>
          <w:tcPr>
            <w:tcW w:type="dxa" w:w="4680"/>
            <w:shd w:fill="234C80"/>
          </w:tcPr>
          <w:p/>
        </w:tc>
        <w:tc>
          <w:tcPr>
            <w:tcW w:type="dxa" w:w="4680"/>
            <w:shd w:fill="F28A1B"/>
          </w:tcPr>
          <w:p/>
        </w:tc>
      </w:tr>
    </w:tbl>
    <w:p/>
    <w:p>
      <w:pPr>
        <w:jc w:val="center"/>
      </w:pPr>
      <w:r>
        <w:rPr>
          <w:rFonts w:ascii="Calibri" w:hAnsi="Calibri"/>
          <w:b w:val="0"/>
          <w:i w:val="0"/>
          <w:color w:val="5D7693"/>
          <w:sz w:val="22"/>
        </w:rPr>
        <w:t>Version 1.0</w:t>
        <w:br/>
        <w:t>Last changed: September 1, 2026</w:t>
        <w:br/>
        <w:t>User acceptance, component integration, regression, and release testing</w:t>
        <w:br/>
        <w:t>Windows - Delphi VCL and FireMonkey - Win32 and Win64</w:t>
      </w:r>
    </w:p>
    <w:p>
      <w:pPr>
        <w:jc w:val="center"/>
      </w:pPr>
      <w:r>
        <w:rPr>
          <w:rFonts w:ascii="Calibri" w:hAnsi="Calibri"/>
          <w:b w:val="0"/>
          <w:i/>
          <w:color w:val="5D7693"/>
          <w:sz w:val="20"/>
        </w:rPr>
        <w:t>A printable, start-to-finish procedure based on the current source, designer forms, build metadata, package graph, and verified test harness.</w:t>
      </w:r>
    </w:p>
    <w:p>
      <w:pPr>
        <w:sectPr>
          <w:headerReference w:type="default" r:id="rId9"/>
          <w:footerReference w:type="default" r:id="rId10"/>
          <w:pgSz w:w="12240" w:h="15840"/>
          <w:pgMar w:top="1440" w:right="1440" w:bottom="1440" w:left="1440" w:header="708" w:footer="708" w:gutter="0"/>
          <w:cols w:space="720"/>
          <w:docGrid w:linePitch="360"/>
        </w:sectPr>
      </w:pPr>
    </w:p>
    <w:p>
      <w:pPr>
        <w:pStyle w:val="TOCHeading"/>
      </w:pPr>
      <w:r>
        <w:t>Table of Contents</w:t>
      </w:r>
    </w:p>
    <w:tbl>
      <w:tblPr>
        <w:jc w:val="center"/>
        <w:tblLook w:firstColumn="1" w:firstRow="1" w:lastColumn="0" w:lastRow="0" w:noHBand="0" w:noVBand="1" w:val="04A0"/>
        <w:tblW w:w="9360" w:type="dxa"/>
        <w:tblInd w:w="0" w:type="dxa"/>
        <w:tblLayout w:type="fixed"/>
        <w:tblCellMar>
          <w:top w:w="80" w:type="dxa"/>
          <w:bottom w:w="80" w:type="dxa"/>
          <w:start w:w="120" w:type="dxa"/>
          <w:end w:w="120" w:type="dxa"/>
        </w:tblCellMar>
      </w:tblPr>
      <w:tblGrid>
        <w:gridCol w:w="8200"/>
        <w:gridCol w:w="1160"/>
      </w:tblGrid>
      <w:tr>
        <w:trPr>
          <w:tblHeader w:val="false"/>
        </w:trPr>
        <w:tc>
          <w:tcPr>
            <w:tcW w:type="dxa" w:w="8200"/>
          </w:tcPr>
          <w:p>
            <w:pPr>
              <w:keepLines/>
              <w:spacing w:after="20"/>
            </w:pPr>
            <w:r>
              <w:rPr>
                <w:rFonts w:ascii="Calibri" w:hAnsi="Calibri"/>
                <w:b w:val="0"/>
                <w:i w:val="0"/>
                <w:color w:val="234C80"/>
                <w:sz w:val="18"/>
              </w:rPr>
              <w:t>1. Purpose and Test Philosophy</w:t>
            </w:r>
          </w:p>
        </w:tc>
        <w:tc>
          <w:tcPr>
            <w:tcW w:type="dxa" w:w="1160"/>
          </w:tcPr>
          <w:p>
            <w:pPr>
              <w:keepLines/>
              <w:spacing w:after="20"/>
              <w:jc w:val="right"/>
            </w:pPr>
            <w:r>
              <w:rPr>
                <w:rFonts w:ascii="Calibri" w:hAnsi="Calibri"/>
                <w:b/>
                <w:i w:val="0"/>
                <w:color w:val="5D7693"/>
                <w:sz w:val="18"/>
              </w:rPr>
              <w:t>1</w:t>
            </w:r>
          </w:p>
        </w:tc>
      </w:tr>
      <w:tr>
        <w:tc>
          <w:tcPr>
            <w:tcW w:type="dxa" w:w="8200"/>
          </w:tcPr>
          <w:p>
            <w:pPr>
              <w:keepLines/>
              <w:spacing w:after="20"/>
            </w:pPr>
            <w:r>
              <w:rPr>
                <w:rFonts w:ascii="Calibri" w:hAnsi="Calibri"/>
                <w:b w:val="0"/>
                <w:i w:val="0"/>
                <w:color w:val="234C80"/>
                <w:sz w:val="18"/>
              </w:rPr>
              <w:t>2. Exact Folders and Files</w:t>
            </w:r>
          </w:p>
        </w:tc>
        <w:tc>
          <w:tcPr>
            <w:tcW w:type="dxa" w:w="1160"/>
          </w:tcPr>
          <w:p>
            <w:pPr>
              <w:keepLines/>
              <w:spacing w:after="20"/>
              <w:jc w:val="right"/>
            </w:pPr>
            <w:r>
              <w:rPr>
                <w:rFonts w:ascii="Calibri" w:hAnsi="Calibri"/>
                <w:b/>
                <w:i w:val="0"/>
                <w:color w:val="5D7693"/>
                <w:sz w:val="18"/>
              </w:rPr>
              <w:t>2</w:t>
            </w:r>
          </w:p>
        </w:tc>
      </w:tr>
      <w:tr>
        <w:tc>
          <w:tcPr>
            <w:tcW w:type="dxa" w:w="8200"/>
          </w:tcPr>
          <w:p>
            <w:pPr>
              <w:keepLines/>
              <w:spacing w:after="20"/>
            </w:pPr>
            <w:r>
              <w:rPr>
                <w:rFonts w:ascii="Calibri" w:hAnsi="Calibri"/>
                <w:b w:val="0"/>
                <w:i w:val="0"/>
                <w:color w:val="234C80"/>
                <w:sz w:val="18"/>
              </w:rPr>
              <w:t>3. Prerequisites and Test Data</w:t>
            </w:r>
          </w:p>
        </w:tc>
        <w:tc>
          <w:tcPr>
            <w:tcW w:type="dxa" w:w="1160"/>
          </w:tcPr>
          <w:p>
            <w:pPr>
              <w:keepLines/>
              <w:spacing w:after="20"/>
              <w:jc w:val="right"/>
            </w:pPr>
            <w:r>
              <w:rPr>
                <w:rFonts w:ascii="Calibri" w:hAnsi="Calibri"/>
                <w:b/>
                <w:i w:val="0"/>
                <w:color w:val="5D7693"/>
                <w:sz w:val="18"/>
              </w:rPr>
              <w:t>3</w:t>
            </w:r>
          </w:p>
        </w:tc>
      </w:tr>
      <w:tr>
        <w:tc>
          <w:tcPr>
            <w:tcW w:type="dxa" w:w="8200"/>
          </w:tcPr>
          <w:p>
            <w:pPr>
              <w:keepLines/>
              <w:spacing w:after="20"/>
            </w:pPr>
            <w:r>
              <w:rPr>
                <w:rFonts w:ascii="Calibri" w:hAnsi="Calibri"/>
                <w:b w:val="0"/>
                <w:i w:val="0"/>
                <w:color w:val="234C80"/>
                <w:sz w:val="18"/>
              </w:rPr>
              <w:t>4. Build the Studio Manually</w:t>
            </w:r>
          </w:p>
        </w:tc>
        <w:tc>
          <w:tcPr>
            <w:tcW w:type="dxa" w:w="1160"/>
          </w:tcPr>
          <w:p>
            <w:pPr>
              <w:keepLines/>
              <w:spacing w:after="20"/>
              <w:jc w:val="right"/>
            </w:pPr>
            <w:r>
              <w:rPr>
                <w:rFonts w:ascii="Calibri" w:hAnsi="Calibri"/>
                <w:b/>
                <w:i w:val="0"/>
                <w:color w:val="5D7693"/>
                <w:sz w:val="18"/>
              </w:rPr>
              <w:t>4</w:t>
            </w:r>
          </w:p>
        </w:tc>
      </w:tr>
      <w:tr>
        <w:tc>
          <w:tcPr>
            <w:tcW w:type="dxa" w:w="8200"/>
          </w:tcPr>
          <w:p>
            <w:pPr>
              <w:keepLines/>
              <w:spacing w:after="20"/>
            </w:pPr>
            <w:r>
              <w:rPr>
                <w:rFonts w:ascii="Calibri" w:hAnsi="Calibri"/>
                <w:b w:val="0"/>
                <w:i w:val="0"/>
                <w:color w:val="234C80"/>
                <w:sz w:val="18"/>
              </w:rPr>
              <w:t>5. Automated Release Gate</w:t>
            </w:r>
          </w:p>
        </w:tc>
        <w:tc>
          <w:tcPr>
            <w:tcW w:type="dxa" w:w="1160"/>
          </w:tcPr>
          <w:p>
            <w:pPr>
              <w:keepLines/>
              <w:spacing w:after="20"/>
              <w:jc w:val="right"/>
            </w:pPr>
            <w:r>
              <w:rPr>
                <w:rFonts w:ascii="Calibri" w:hAnsi="Calibri"/>
                <w:b/>
                <w:i w:val="0"/>
                <w:color w:val="5D7693"/>
                <w:sz w:val="18"/>
              </w:rPr>
              <w:t>5</w:t>
            </w:r>
          </w:p>
        </w:tc>
      </w:tr>
      <w:tr>
        <w:tc>
          <w:tcPr>
            <w:tcW w:type="dxa" w:w="8200"/>
          </w:tcPr>
          <w:p>
            <w:pPr>
              <w:keepLines/>
              <w:spacing w:after="20"/>
            </w:pPr>
            <w:r>
              <w:rPr>
                <w:rFonts w:ascii="Calibri" w:hAnsi="Calibri"/>
                <w:b w:val="0"/>
                <w:i w:val="0"/>
                <w:color w:val="234C80"/>
                <w:sz w:val="18"/>
              </w:rPr>
              <w:t>6. Manual Studio Acceptance</w:t>
            </w:r>
          </w:p>
        </w:tc>
        <w:tc>
          <w:tcPr>
            <w:tcW w:type="dxa" w:w="1160"/>
          </w:tcPr>
          <w:p>
            <w:pPr>
              <w:keepLines/>
              <w:spacing w:after="20"/>
              <w:jc w:val="right"/>
            </w:pPr>
            <w:r>
              <w:rPr>
                <w:rFonts w:ascii="Calibri" w:hAnsi="Calibri"/>
                <w:b/>
                <w:i w:val="0"/>
                <w:color w:val="5D7693"/>
                <w:sz w:val="18"/>
              </w:rPr>
              <w:t>7</w:t>
            </w:r>
          </w:p>
        </w:tc>
      </w:tr>
      <w:tr>
        <w:tc>
          <w:tcPr>
            <w:tcW w:type="dxa" w:w="8200"/>
          </w:tcPr>
          <w:p>
            <w:pPr>
              <w:keepLines/>
              <w:spacing w:after="20"/>
            </w:pPr>
            <w:r>
              <w:rPr>
                <w:rFonts w:ascii="Calibri" w:hAnsi="Calibri"/>
                <w:b w:val="0"/>
                <w:i w:val="0"/>
                <w:color w:val="234C80"/>
                <w:sz w:val="18"/>
              </w:rPr>
              <w:t>7. Component Integration Acceptance</w:t>
            </w:r>
          </w:p>
        </w:tc>
        <w:tc>
          <w:tcPr>
            <w:tcW w:type="dxa" w:w="1160"/>
          </w:tcPr>
          <w:p>
            <w:pPr>
              <w:keepLines/>
              <w:spacing w:after="20"/>
              <w:jc w:val="right"/>
            </w:pPr>
            <w:r>
              <w:rPr>
                <w:rFonts w:ascii="Calibri" w:hAnsi="Calibri"/>
                <w:b/>
                <w:i w:val="0"/>
                <w:color w:val="5D7693"/>
                <w:sz w:val="18"/>
              </w:rPr>
              <w:t>14</w:t>
            </w:r>
          </w:p>
        </w:tc>
      </w:tr>
      <w:tr>
        <w:tc>
          <w:tcPr>
            <w:tcW w:type="dxa" w:w="8200"/>
          </w:tcPr>
          <w:p>
            <w:pPr>
              <w:keepLines/>
              <w:spacing w:after="20"/>
            </w:pPr>
            <w:r>
              <w:rPr>
                <w:rFonts w:ascii="Calibri" w:hAnsi="Calibri"/>
                <w:b w:val="0"/>
                <w:i w:val="0"/>
                <w:color w:val="234C80"/>
                <w:sz w:val="18"/>
              </w:rPr>
              <w:t>8. Runtime Acceptance</w:t>
            </w:r>
          </w:p>
        </w:tc>
        <w:tc>
          <w:tcPr>
            <w:tcW w:type="dxa" w:w="1160"/>
          </w:tcPr>
          <w:p>
            <w:pPr>
              <w:keepLines/>
              <w:spacing w:after="20"/>
              <w:jc w:val="right"/>
            </w:pPr>
            <w:r>
              <w:rPr>
                <w:rFonts w:ascii="Calibri" w:hAnsi="Calibri"/>
                <w:b/>
                <w:i w:val="0"/>
                <w:color w:val="5D7693"/>
                <w:sz w:val="18"/>
              </w:rPr>
              <w:t>19</w:t>
            </w:r>
          </w:p>
        </w:tc>
      </w:tr>
      <w:tr>
        <w:tc>
          <w:tcPr>
            <w:tcW w:type="dxa" w:w="8200"/>
          </w:tcPr>
          <w:p>
            <w:pPr>
              <w:keepLines/>
              <w:spacing w:after="20"/>
            </w:pPr>
            <w:r>
              <w:rPr>
                <w:rFonts w:ascii="Calibri" w:hAnsi="Calibri"/>
                <w:b w:val="0"/>
                <w:i w:val="0"/>
                <w:color w:val="234C80"/>
                <w:sz w:val="18"/>
              </w:rPr>
              <w:t>9. VCL Acceptance Delta</w:t>
            </w:r>
          </w:p>
        </w:tc>
        <w:tc>
          <w:tcPr>
            <w:tcW w:type="dxa" w:w="1160"/>
          </w:tcPr>
          <w:p>
            <w:pPr>
              <w:keepLines/>
              <w:spacing w:after="20"/>
              <w:jc w:val="right"/>
            </w:pPr>
            <w:r>
              <w:rPr>
                <w:rFonts w:ascii="Calibri" w:hAnsi="Calibri"/>
                <w:b/>
                <w:i w:val="0"/>
                <w:color w:val="5D7693"/>
                <w:sz w:val="18"/>
              </w:rPr>
              <w:t>23</w:t>
            </w:r>
          </w:p>
        </w:tc>
      </w:tr>
      <w:tr>
        <w:tc>
          <w:tcPr>
            <w:tcW w:type="dxa" w:w="8200"/>
          </w:tcPr>
          <w:p>
            <w:pPr>
              <w:keepLines/>
              <w:spacing w:after="20"/>
            </w:pPr>
            <w:r>
              <w:rPr>
                <w:rFonts w:ascii="Calibri" w:hAnsi="Calibri"/>
                <w:b w:val="0"/>
                <w:i w:val="0"/>
                <w:color w:val="234C80"/>
                <w:sz w:val="18"/>
              </w:rPr>
              <w:t>10. Studio Self-Translation</w:t>
            </w:r>
          </w:p>
        </w:tc>
        <w:tc>
          <w:tcPr>
            <w:tcW w:type="dxa" w:w="1160"/>
          </w:tcPr>
          <w:p>
            <w:pPr>
              <w:keepLines/>
              <w:spacing w:after="20"/>
              <w:jc w:val="right"/>
            </w:pPr>
            <w:r>
              <w:rPr>
                <w:rFonts w:ascii="Calibri" w:hAnsi="Calibri"/>
                <w:b/>
                <w:i w:val="0"/>
                <w:color w:val="5D7693"/>
                <w:sz w:val="18"/>
              </w:rPr>
              <w:t>24</w:t>
            </w:r>
          </w:p>
        </w:tc>
      </w:tr>
      <w:tr>
        <w:tc>
          <w:tcPr>
            <w:tcW w:type="dxa" w:w="8200"/>
          </w:tcPr>
          <w:p>
            <w:pPr>
              <w:keepLines/>
              <w:spacing w:after="20"/>
            </w:pPr>
            <w:r>
              <w:rPr>
                <w:rFonts w:ascii="Calibri" w:hAnsi="Calibri"/>
                <w:b w:val="0"/>
                <w:i w:val="0"/>
                <w:color w:val="234C80"/>
                <w:sz w:val="18"/>
              </w:rPr>
              <w:t>11. Starting Over and Dependency Recovery</w:t>
            </w:r>
          </w:p>
        </w:tc>
        <w:tc>
          <w:tcPr>
            <w:tcW w:type="dxa" w:w="1160"/>
          </w:tcPr>
          <w:p>
            <w:pPr>
              <w:keepLines/>
              <w:spacing w:after="20"/>
              <w:jc w:val="right"/>
            </w:pPr>
            <w:r>
              <w:rPr>
                <w:rFonts w:ascii="Calibri" w:hAnsi="Calibri"/>
                <w:b/>
                <w:i w:val="0"/>
                <w:color w:val="5D7693"/>
                <w:sz w:val="18"/>
              </w:rPr>
              <w:t>24</w:t>
            </w:r>
          </w:p>
        </w:tc>
      </w:tr>
      <w:tr>
        <w:tc>
          <w:tcPr>
            <w:tcW w:type="dxa" w:w="8200"/>
          </w:tcPr>
          <w:p>
            <w:pPr>
              <w:keepLines/>
              <w:spacing w:after="20"/>
            </w:pPr>
            <w:r>
              <w:rPr>
                <w:rFonts w:ascii="Calibri" w:hAnsi="Calibri"/>
                <w:b w:val="0"/>
                <w:i w:val="0"/>
                <w:color w:val="234C80"/>
                <w:sz w:val="18"/>
              </w:rPr>
              <w:t>12. Negative and Recovery Tests</w:t>
            </w:r>
          </w:p>
        </w:tc>
        <w:tc>
          <w:tcPr>
            <w:tcW w:type="dxa" w:w="1160"/>
          </w:tcPr>
          <w:p>
            <w:pPr>
              <w:keepLines/>
              <w:spacing w:after="20"/>
              <w:jc w:val="right"/>
            </w:pPr>
            <w:r>
              <w:rPr>
                <w:rFonts w:ascii="Calibri" w:hAnsi="Calibri"/>
                <w:b/>
                <w:i w:val="0"/>
                <w:color w:val="5D7693"/>
                <w:sz w:val="18"/>
              </w:rPr>
              <w:t>25</w:t>
            </w:r>
          </w:p>
        </w:tc>
      </w:tr>
      <w:tr>
        <w:tc>
          <w:tcPr>
            <w:tcW w:type="dxa" w:w="8200"/>
          </w:tcPr>
          <w:p>
            <w:pPr>
              <w:keepLines/>
              <w:spacing w:after="20"/>
            </w:pPr>
            <w:r>
              <w:rPr>
                <w:rFonts w:ascii="Calibri" w:hAnsi="Calibri"/>
                <w:b w:val="0"/>
                <w:i w:val="0"/>
                <w:color w:val="234C80"/>
                <w:sz w:val="18"/>
              </w:rPr>
              <w:t>13. Performance and Large-Project Checks</w:t>
            </w:r>
          </w:p>
        </w:tc>
        <w:tc>
          <w:tcPr>
            <w:tcW w:type="dxa" w:w="1160"/>
          </w:tcPr>
          <w:p>
            <w:pPr>
              <w:keepLines/>
              <w:spacing w:after="20"/>
              <w:jc w:val="right"/>
            </w:pPr>
            <w:r>
              <w:rPr>
                <w:rFonts w:ascii="Calibri" w:hAnsi="Calibri"/>
                <w:b/>
                <w:i w:val="0"/>
                <w:color w:val="5D7693"/>
                <w:sz w:val="18"/>
              </w:rPr>
              <w:t>26</w:t>
            </w:r>
          </w:p>
        </w:tc>
      </w:tr>
      <w:tr>
        <w:tc>
          <w:tcPr>
            <w:tcW w:type="dxa" w:w="8200"/>
          </w:tcPr>
          <w:p>
            <w:pPr>
              <w:keepLines/>
              <w:spacing w:after="20"/>
            </w:pPr>
            <w:r>
              <w:rPr>
                <w:rFonts w:ascii="Calibri" w:hAnsi="Calibri"/>
                <w:b w:val="0"/>
                <w:i w:val="0"/>
                <w:color w:val="234C80"/>
                <w:sz w:val="18"/>
              </w:rPr>
              <w:t>14. Defect Recording</w:t>
            </w:r>
          </w:p>
        </w:tc>
        <w:tc>
          <w:tcPr>
            <w:tcW w:type="dxa" w:w="1160"/>
          </w:tcPr>
          <w:p>
            <w:pPr>
              <w:keepLines/>
              <w:spacing w:after="20"/>
              <w:jc w:val="right"/>
            </w:pPr>
            <w:r>
              <w:rPr>
                <w:rFonts w:ascii="Calibri" w:hAnsi="Calibri"/>
                <w:b/>
                <w:i w:val="0"/>
                <w:color w:val="5D7693"/>
                <w:sz w:val="18"/>
              </w:rPr>
              <w:t>27</w:t>
            </w:r>
          </w:p>
        </w:tc>
      </w:tr>
      <w:tr>
        <w:tc>
          <w:tcPr>
            <w:tcW w:type="dxa" w:w="8200"/>
          </w:tcPr>
          <w:p>
            <w:pPr>
              <w:keepLines/>
              <w:spacing w:after="20"/>
            </w:pPr>
            <w:r>
              <w:rPr>
                <w:rFonts w:ascii="Calibri" w:hAnsi="Calibri"/>
                <w:b w:val="0"/>
                <w:i w:val="0"/>
                <w:color w:val="234C80"/>
                <w:sz w:val="18"/>
              </w:rPr>
              <w:t>15. Final Acceptance Checklist</w:t>
            </w:r>
          </w:p>
        </w:tc>
        <w:tc>
          <w:tcPr>
            <w:tcW w:type="dxa" w:w="1160"/>
          </w:tcPr>
          <w:p>
            <w:pPr>
              <w:keepLines/>
              <w:spacing w:after="20"/>
              <w:jc w:val="right"/>
            </w:pPr>
            <w:r>
              <w:rPr>
                <w:rFonts w:ascii="Calibri" w:hAnsi="Calibri"/>
                <w:b/>
                <w:i w:val="0"/>
                <w:color w:val="5D7693"/>
                <w:sz w:val="18"/>
              </w:rPr>
              <w:t>27</w:t>
            </w:r>
          </w:p>
        </w:tc>
      </w:tr>
      <w:tr>
        <w:tc>
          <w:tcPr>
            <w:tcW w:type="dxa" w:w="8200"/>
          </w:tcPr>
          <w:p>
            <w:pPr>
              <w:keepLines/>
              <w:spacing w:after="20"/>
            </w:pPr>
            <w:r>
              <w:rPr>
                <w:rFonts w:ascii="Calibri" w:hAnsi="Calibri"/>
                <w:b w:val="0"/>
                <w:i w:val="0"/>
                <w:color w:val="234C80"/>
                <w:sz w:val="18"/>
              </w:rPr>
              <w:t>16. Appendix A - Exact Test Scripts</w:t>
            </w:r>
          </w:p>
        </w:tc>
        <w:tc>
          <w:tcPr>
            <w:tcW w:type="dxa" w:w="1160"/>
          </w:tcPr>
          <w:p>
            <w:pPr>
              <w:keepLines/>
              <w:spacing w:after="20"/>
              <w:jc w:val="right"/>
            </w:pPr>
            <w:r>
              <w:rPr>
                <w:rFonts w:ascii="Calibri" w:hAnsi="Calibri"/>
                <w:b/>
                <w:i w:val="0"/>
                <w:color w:val="5D7693"/>
                <w:sz w:val="18"/>
              </w:rPr>
              <w:t>28</w:t>
            </w:r>
          </w:p>
        </w:tc>
      </w:tr>
      <w:tr>
        <w:tc>
          <w:tcPr>
            <w:tcW w:type="dxa" w:w="8200"/>
          </w:tcPr>
          <w:p>
            <w:pPr>
              <w:keepLines/>
              <w:spacing w:after="20"/>
            </w:pPr>
            <w:r>
              <w:rPr>
                <w:rFonts w:ascii="Calibri" w:hAnsi="Calibri"/>
                <w:b w:val="0"/>
                <w:i w:val="0"/>
                <w:color w:val="234C80"/>
                <w:sz w:val="18"/>
              </w:rPr>
              <w:t>17. Appendix B - What Each JSON File Is</w:t>
            </w:r>
          </w:p>
        </w:tc>
        <w:tc>
          <w:tcPr>
            <w:tcW w:type="dxa" w:w="1160"/>
          </w:tcPr>
          <w:p>
            <w:pPr>
              <w:keepLines/>
              <w:spacing w:after="20"/>
              <w:jc w:val="right"/>
            </w:pPr>
            <w:r>
              <w:rPr>
                <w:rFonts w:ascii="Calibri" w:hAnsi="Calibri"/>
                <w:b/>
                <w:i w:val="0"/>
                <w:color w:val="5D7693"/>
                <w:sz w:val="18"/>
              </w:rPr>
              <w:t>29</w:t>
            </w:r>
          </w:p>
        </w:tc>
      </w:tr>
      <w:tr>
        <w:tc>
          <w:tcPr>
            <w:tcW w:type="dxa" w:w="8200"/>
          </w:tcPr>
          <w:p>
            <w:pPr>
              <w:keepLines/>
              <w:spacing w:after="20"/>
            </w:pPr>
            <w:r>
              <w:rPr>
                <w:rFonts w:ascii="Calibri" w:hAnsi="Calibri"/>
                <w:b w:val="0"/>
                <w:i w:val="0"/>
                <w:color w:val="234C80"/>
                <w:sz w:val="18"/>
              </w:rPr>
              <w:t>18. Appendix C - Current Verified Baseline</w:t>
            </w:r>
          </w:p>
        </w:tc>
        <w:tc>
          <w:tcPr>
            <w:tcW w:type="dxa" w:w="1160"/>
          </w:tcPr>
          <w:p>
            <w:pPr>
              <w:keepLines/>
              <w:spacing w:after="20"/>
              <w:jc w:val="right"/>
            </w:pPr>
            <w:r>
              <w:rPr>
                <w:rFonts w:ascii="Calibri" w:hAnsi="Calibri"/>
                <w:b/>
                <w:i w:val="0"/>
                <w:color w:val="5D7693"/>
                <w:sz w:val="18"/>
              </w:rPr>
              <w:t>29</w:t>
            </w:r>
          </w:p>
        </w:tc>
      </w:tr>
    </w:tbl>
    <w:p>
      <w:pPr>
        <w:sectPr>
          <w:headerReference w:type="default" r:id="rId12"/>
          <w:footerReference w:type="default" r:id="rId13"/>
          <w:pgSz w:w="12240" w:h="15840"/>
          <w:pgMar w:top="1440" w:right="1440" w:bottom="1440" w:left="1440" w:header="708" w:footer="708" w:gutter="0"/>
          <w:cols w:space="720"/>
          <w:docGrid w:linePitch="360"/>
          <w:pgNumType w:fmt="lowerRoman" w:start="1"/>
        </w:sectPr>
      </w:pPr>
    </w:p>
    <w:p>
      <w:pPr>
        <w:pStyle w:val="Heading1"/>
      </w:pPr>
      <w:r>
        <w:t>1. Purpose and Test Philosophy</w:t>
      </w:r>
    </w:p>
    <w:p>
      <w:r>
        <w:t>This guide provides the complete acceptance path for Delphi App Translation Studio: safeguard the source, build the Studio and packages, run the automated release gate, scan and automatically translate a real FMX application, generate offline JSON packs, integrate one manager component without Studio-authored target changes, deploy the packs, and verify language switching on Win32 and Win64.</w:t>
      </w:r>
    </w:p>
    <w:p>
      <w:r>
        <w:t>The recommended production path is Component Integration. The Studio generates a kit beneath its own export folder and never opens the selected target project, DPR, DPROJ, PAS, DFM, or FMX files for writing. The developer then performs a small, normal Delphi Form Designer change in a disposable test copy: one manager on the primary form and, when desired, one typed language selector. This is visible, reviewable, and reversible in Git.</w:t>
      </w:r>
    </w:p>
    <w:p>
      <w:r>
        <w:t>The automated matrix is the engineering release gate. The manual cases are user acceptance tests. Both are required for a complete sign-off because automation can prove invariants while a human must confirm visual layout, translated meaning, normal application behavior, and operational clarity.</w:t>
      </w:r>
    </w:p>
    <w:tbl>
      <w:tblPr>
        <w:jc w:val="center"/>
        <w:tblLook w:firstColumn="1" w:firstRow="1" w:lastColumn="0" w:lastRow="0" w:noHBand="0" w:noVBand="1" w:val="04A0"/>
        <w:tblW w:w="9360" w:type="dxa"/>
        <w:tblInd w:w="120" w:type="dxa"/>
        <w:tblLayout w:type="fixed"/>
        <w:tblCellMar>
          <w:top w:w="80" w:type="dxa"/>
          <w:bottom w:w="80" w:type="dxa"/>
          <w:start w:w="120" w:type="dxa"/>
          <w:end w:w="120" w:type="dxa"/>
        </w:tblCellMar>
      </w:tblPr>
      <w:tblGrid>
        <w:gridCol w:w="9360"/>
      </w:tblGrid>
      <w:tr>
        <w:trPr>
          <w:cantSplit/>
          <w:tblHeader w:val="true"/>
        </w:trPr>
        <w:tc>
          <w:tcPr>
            <w:tcW w:type="dxa" w:w="9360"/>
            <w:shd w:fill="EAF3FF"/>
            <w:vAlign w:val="center"/>
          </w:tcPr>
          <w:p>
            <w:pPr>
              <w:pStyle w:val="Callout"/>
            </w:pPr>
            <w:r>
              <w:rPr>
                <w:b/>
                <w:color w:val="234C80"/>
              </w:rPr>
              <w:t xml:space="preserve">Critical source-protection rule. </w:t>
            </w:r>
            <w:r>
              <w:t>Do not place test components in the pristine GA4 repository. Copy it to a disposable working folder first. The pristine repository remains the known-good comparison point.</w:t>
            </w:r>
          </w:p>
        </w:tc>
      </w:tr>
    </w:tbl>
    <w:p>
      <w:pPr>
        <w:pStyle w:val="Heading2"/>
      </w:pPr>
      <w:r>
        <w:t>1.1 Scope</w:t>
      </w:r>
    </w:p>
    <w:p>
      <w:pPr>
        <w:pStyle w:val="ListBullet"/>
      </w:pPr>
      <w:r>
        <w:t>Studio host: Windows Win32 and Win64.</w:t>
      </w:r>
    </w:p>
    <w:p>
      <w:pPr>
        <w:pStyle w:val="ListBullet"/>
      </w:pPr>
      <w:r>
        <w:t>Target frameworks: Delphi VCL and FireMonkey (FMX).</w:t>
      </w:r>
    </w:p>
    <w:p>
      <w:pPr>
        <w:pStyle w:val="ListBullet"/>
      </w:pPr>
      <w:r>
        <w:t>Target architectures: Win32 and Win64, Debug and Release where specified.</w:t>
      </w:r>
    </w:p>
    <w:p>
      <w:pPr>
        <w:pStyle w:val="ListBullet"/>
      </w:pPr>
      <w:r>
        <w:t>Translation providers: Google Cloud Translation Basic v2 and DeepL API Free/API Pro.</w:t>
      </w:r>
    </w:p>
    <w:p>
      <w:pPr>
        <w:pStyle w:val="ListBullet"/>
      </w:pPr>
      <w:r>
        <w:t>Runtime operation: local JSON packs with no Internet connection and no provider key.</w:t>
      </w:r>
    </w:p>
    <w:p>
      <w:pPr>
        <w:pStyle w:val="ListBullet"/>
      </w:pPr>
      <w:r>
        <w:t>Out of scope: macOS, iOS, Android, Linux, C++Builder, automatic control resizing, and runtime cloud translation.</w:t>
      </w:r>
    </w:p>
    <w:p>
      <w:pPr>
        <w:pStyle w:val="Heading2"/>
      </w:pPr>
      <w:r>
        <w:t>1.2 Stop conditions</w:t>
      </w:r>
    </w:p>
    <w:p>
      <w:pPr>
        <w:pStyle w:val="ListBullet"/>
      </w:pPr>
      <w:r>
        <w:t>Stop if the selected target is the pristine GA4 folder rather than a disposable copy.</w:t>
      </w:r>
    </w:p>
    <w:p>
      <w:pPr>
        <w:pStyle w:val="ListBullet"/>
      </w:pPr>
      <w:r>
        <w:t>Stop if Git reports unexplained modifications before integration begins.</w:t>
      </w:r>
    </w:p>
    <w:p>
      <w:pPr>
        <w:pStyle w:val="ListBullet"/>
      </w:pPr>
      <w:r>
        <w:t>Stop if a provider response alters placeholders, format specifiers, or accelerator semantics and validation reports an error.</w:t>
      </w:r>
    </w:p>
    <w:p>
      <w:pPr>
        <w:pStyle w:val="ListBullet"/>
      </w:pPr>
      <w:r>
        <w:t>Stop if Component Integration changes any target file before the developer manually opens the target in Delphi.</w:t>
      </w:r>
    </w:p>
    <w:p>
      <w:pPr>
        <w:pStyle w:val="ListBullet"/>
      </w:pPr>
      <w:r>
        <w:t>Stop if the release validation script reports any failure; preserve the complete console output for diagnosis.</w:t>
      </w:r>
    </w:p>
    <w:p>
      <w:pPr>
        <w:pStyle w:val="ListBullet"/>
      </w:pPr>
      <w:r>
        <w:t>Stop if a build or launch error dialog appears. Record its full text and the exact executable used.</w:t>
      </w:r>
    </w:p>
    <w:p>
      <w:pPr>
        <w:pStyle w:val="Heading1"/>
      </w:pPr>
      <w:r>
        <w:t>2. Exact Folders and Files</w:t>
      </w:r>
    </w:p>
    <w:tbl>
      <w:tblPr>
        <w:tblStyle w:val="TableGrid"/>
        <w:jc w:val="center"/>
        <w:tblLook w:firstColumn="1" w:firstRow="1" w:lastColumn="0" w:lastRow="0" w:noHBand="0" w:noVBand="1" w:val="04A0"/>
        <w:tblW w:w="9360" w:type="dxa"/>
        <w:tblInd w:w="120" w:type="dxa"/>
        <w:tblLayout w:type="fixed"/>
        <w:tblCellMar>
          <w:top w:w="80" w:type="dxa"/>
          <w:bottom w:w="80" w:type="dxa"/>
          <w:start w:w="120" w:type="dxa"/>
          <w:end w:w="120" w:type="dxa"/>
        </w:tblCellMar>
      </w:tblPr>
      <w:tblGrid>
        <w:gridCol w:w="1900"/>
        <w:gridCol w:w="4660"/>
        <w:gridCol w:w="2800"/>
      </w:tblGrid>
      <w:tr>
        <w:trPr>
          <w:tblHeader w:val="true"/>
        </w:trPr>
        <w:tc>
          <w:tcPr>
            <w:tcW w:type="dxa" w:w="1900"/>
            <w:shd w:fill="234C80"/>
            <w:vAlign w:val="center"/>
          </w:tcPr>
          <w:p>
            <w:r>
              <w:rPr>
                <w:rFonts w:ascii="Calibri" w:hAnsi="Calibri"/>
                <w:b/>
                <w:i w:val="0"/>
                <w:color w:val="FFFFFF"/>
                <w:sz w:val="17"/>
              </w:rPr>
              <w:t>Purpose</w:t>
            </w:r>
          </w:p>
        </w:tc>
        <w:tc>
          <w:tcPr>
            <w:tcW w:type="dxa" w:w="4660"/>
            <w:shd w:fill="234C80"/>
            <w:vAlign w:val="center"/>
          </w:tcPr>
          <w:p>
            <w:r>
              <w:rPr>
                <w:rFonts w:ascii="Calibri" w:hAnsi="Calibri"/>
                <w:b/>
                <w:i w:val="0"/>
                <w:color w:val="FFFFFF"/>
                <w:sz w:val="17"/>
              </w:rPr>
              <w:t>Exact path</w:t>
            </w:r>
          </w:p>
        </w:tc>
        <w:tc>
          <w:tcPr>
            <w:tcW w:type="dxa" w:w="2800"/>
            <w:shd w:fill="234C80"/>
            <w:vAlign w:val="center"/>
          </w:tcPr>
          <w:p>
            <w:r>
              <w:rPr>
                <w:rFonts w:ascii="Calibri" w:hAnsi="Calibri"/>
                <w:b/>
                <w:i w:val="0"/>
                <w:color w:val="FFFFFF"/>
                <w:sz w:val="17"/>
              </w:rPr>
              <w:t>Handling</w:t>
            </w:r>
          </w:p>
        </w:tc>
      </w:tr>
      <w:tr>
        <w:trPr>
          <w:cantSplit/>
        </w:trPr>
        <w:tc>
          <w:tcPr>
            <w:tcW w:type="dxa" w:w="1900"/>
            <w:vAlign w:val="center"/>
          </w:tcPr>
          <w:p>
            <w:pPr>
              <w:spacing w:after="40" w:line="252" w:lineRule="auto"/>
            </w:pPr>
            <w:r>
              <w:rPr>
                <w:rFonts w:ascii="Calibri" w:hAnsi="Calibri"/>
                <w:b w:val="0"/>
                <w:i w:val="0"/>
                <w:color w:val="163A63"/>
                <w:sz w:val="17"/>
              </w:rPr>
              <w:t>Studio source repository</w:t>
            </w:r>
          </w:p>
        </w:tc>
        <w:tc>
          <w:tcPr>
            <w:tcW w:type="dxa" w:w="4660"/>
            <w:vAlign w:val="center"/>
          </w:tcPr>
          <w:p>
            <w:pPr>
              <w:spacing w:after="40" w:line="252" w:lineRule="auto"/>
            </w:pPr>
            <w:r>
              <w:rPr>
                <w:rFonts w:ascii="Calibri" w:hAnsi="Calibri"/>
                <w:b w:val="0"/>
                <w:i w:val="0"/>
                <w:color w:val="163A63"/>
                <w:sz w:val="17"/>
              </w:rPr>
              <w:t>C:\DelphiProjects\Delphi App Translation</w:t>
            </w:r>
          </w:p>
        </w:tc>
        <w:tc>
          <w:tcPr>
            <w:tcW w:type="dxa" w:w="2800"/>
            <w:vAlign w:val="center"/>
          </w:tcPr>
          <w:p>
            <w:pPr>
              <w:spacing w:after="40" w:line="252" w:lineRule="auto"/>
            </w:pPr>
            <w:r>
              <w:rPr>
                <w:rFonts w:ascii="Calibri" w:hAnsi="Calibri"/>
                <w:b w:val="0"/>
                <w:i w:val="0"/>
                <w:color w:val="163A63"/>
                <w:sz w:val="17"/>
              </w:rPr>
              <w:t>This is the active product folder used by this guide.</w:t>
            </w:r>
          </w:p>
        </w:tc>
      </w:tr>
      <w:tr>
        <w:trPr>
          <w:cantSplit/>
        </w:trPr>
        <w:tc>
          <w:tcPr>
            <w:tcW w:type="dxa" w:w="1900"/>
            <w:vAlign w:val="center"/>
            <w:shd w:fill="F6F9FC"/>
          </w:tcPr>
          <w:p>
            <w:pPr>
              <w:spacing w:after="40" w:line="252" w:lineRule="auto"/>
            </w:pPr>
            <w:r>
              <w:rPr>
                <w:rFonts w:ascii="Calibri" w:hAnsi="Calibri"/>
                <w:b w:val="0"/>
                <w:i w:val="0"/>
                <w:color w:val="163A63"/>
                <w:sz w:val="17"/>
              </w:rPr>
              <w:t>Pristine GA4 reference</w:t>
            </w:r>
          </w:p>
        </w:tc>
        <w:tc>
          <w:tcPr>
            <w:tcW w:type="dxa" w:w="4660"/>
            <w:vAlign w:val="center"/>
            <w:shd w:fill="F6F9FC"/>
          </w:tcPr>
          <w:p>
            <w:pPr>
              <w:spacing w:after="40" w:line="252" w:lineRule="auto"/>
            </w:pPr>
            <w:r>
              <w:rPr>
                <w:rFonts w:ascii="Calibri" w:hAnsi="Calibri"/>
                <w:b w:val="0"/>
                <w:i w:val="0"/>
                <w:color w:val="163A63"/>
                <w:sz w:val="17"/>
              </w:rPr>
              <w:t>C:\DelphiProjects\FMXPilot - Pristine</w:t>
            </w:r>
          </w:p>
        </w:tc>
        <w:tc>
          <w:tcPr>
            <w:tcW w:type="dxa" w:w="2800"/>
            <w:vAlign w:val="center"/>
            <w:shd w:fill="F6F9FC"/>
          </w:tcPr>
          <w:p>
            <w:pPr>
              <w:spacing w:after="40" w:line="252" w:lineRule="auto"/>
            </w:pPr>
            <w:r>
              <w:rPr>
                <w:rFonts w:ascii="Calibri" w:hAnsi="Calibri"/>
                <w:b w:val="0"/>
                <w:i w:val="0"/>
                <w:color w:val="163A63"/>
                <w:sz w:val="17"/>
              </w:rPr>
              <w:t>Read-only reference. It was clean when this guide was generated. Do not integrate directly into it.</w:t>
            </w:r>
          </w:p>
        </w:tc>
      </w:tr>
      <w:tr>
        <w:trPr>
          <w:cantSplit/>
        </w:trPr>
        <w:tc>
          <w:tcPr>
            <w:tcW w:type="dxa" w:w="1900"/>
            <w:vAlign w:val="center"/>
          </w:tcPr>
          <w:p>
            <w:pPr>
              <w:spacing w:after="40" w:line="252" w:lineRule="auto"/>
            </w:pPr>
            <w:r>
              <w:rPr>
                <w:rFonts w:ascii="Calibri" w:hAnsi="Calibri"/>
                <w:b w:val="0"/>
                <w:i w:val="0"/>
                <w:color w:val="163A63"/>
                <w:sz w:val="17"/>
              </w:rPr>
              <w:t>Recommended disposable GA4 test copy</w:t>
            </w:r>
          </w:p>
        </w:tc>
        <w:tc>
          <w:tcPr>
            <w:tcW w:type="dxa" w:w="4660"/>
            <w:vAlign w:val="center"/>
          </w:tcPr>
          <w:p>
            <w:pPr>
              <w:spacing w:after="40" w:line="252" w:lineRule="auto"/>
            </w:pPr>
            <w:r>
              <w:rPr>
                <w:rFonts w:ascii="Calibri" w:hAnsi="Calibri"/>
                <w:b w:val="0"/>
                <w:i w:val="0"/>
                <w:color w:val="163A63"/>
                <w:sz w:val="17"/>
              </w:rPr>
              <w:t>C:\DelphiProjects\FMXPilot - Component Test</w:t>
            </w:r>
          </w:p>
        </w:tc>
        <w:tc>
          <w:tcPr>
            <w:tcW w:type="dxa" w:w="2800"/>
            <w:vAlign w:val="center"/>
          </w:tcPr>
          <w:p>
            <w:pPr>
              <w:spacing w:after="40" w:line="252" w:lineRule="auto"/>
            </w:pPr>
            <w:r>
              <w:rPr>
                <w:rFonts w:ascii="Calibri" w:hAnsi="Calibri"/>
                <w:b w:val="0"/>
                <w:i w:val="0"/>
                <w:color w:val="163A63"/>
                <w:sz w:val="17"/>
              </w:rPr>
              <w:t>Create from the pristine reference. Perform all manual component integration here.</w:t>
            </w:r>
          </w:p>
        </w:tc>
      </w:tr>
      <w:tr>
        <w:trPr>
          <w:cantSplit/>
        </w:trPr>
        <w:tc>
          <w:tcPr>
            <w:tcW w:type="dxa" w:w="1900"/>
            <w:vAlign w:val="center"/>
            <w:shd w:fill="F6F9FC"/>
          </w:tcPr>
          <w:p>
            <w:pPr>
              <w:spacing w:after="40" w:line="252" w:lineRule="auto"/>
            </w:pPr>
            <w:r>
              <w:rPr>
                <w:rFonts w:ascii="Calibri" w:hAnsi="Calibri"/>
                <w:b w:val="0"/>
                <w:i w:val="0"/>
                <w:color w:val="163A63"/>
                <w:sz w:val="17"/>
              </w:rPr>
              <w:t>RAD Studio environment</w:t>
            </w:r>
          </w:p>
        </w:tc>
        <w:tc>
          <w:tcPr>
            <w:tcW w:type="dxa" w:w="4660"/>
            <w:vAlign w:val="center"/>
            <w:shd w:fill="F6F9FC"/>
          </w:tcPr>
          <w:p>
            <w:pPr>
              <w:spacing w:after="40" w:line="252" w:lineRule="auto"/>
            </w:pPr>
            <w:r>
              <w:rPr>
                <w:rFonts w:ascii="Calibri" w:hAnsi="Calibri"/>
                <w:b w:val="0"/>
                <w:i w:val="0"/>
                <w:color w:val="163A63"/>
                <w:sz w:val="17"/>
              </w:rPr>
              <w:t>C:\Program Files (x86)\Embarcadero\Studio\37.0\bin\rsvars.bat</w:t>
            </w:r>
          </w:p>
        </w:tc>
        <w:tc>
          <w:tcPr>
            <w:tcW w:type="dxa" w:w="2800"/>
            <w:vAlign w:val="center"/>
            <w:shd w:fill="F6F9FC"/>
          </w:tcPr>
          <w:p>
            <w:pPr>
              <w:spacing w:after="40" w:line="252" w:lineRule="auto"/>
            </w:pPr>
            <w:r>
              <w:rPr>
                <w:rFonts w:ascii="Calibri" w:hAnsi="Calibri"/>
                <w:b w:val="0"/>
                <w:i w:val="0"/>
                <w:color w:val="163A63"/>
                <w:sz w:val="17"/>
              </w:rPr>
              <w:t>Run builds elevated so MSBuild can read the RAD Studio environment.</w:t>
            </w:r>
          </w:p>
        </w:tc>
      </w:tr>
      <w:tr>
        <w:trPr>
          <w:cantSplit/>
        </w:trPr>
        <w:tc>
          <w:tcPr>
            <w:tcW w:type="dxa" w:w="1900"/>
            <w:vAlign w:val="center"/>
          </w:tcPr>
          <w:p>
            <w:pPr>
              <w:spacing w:after="40" w:line="252" w:lineRule="auto"/>
            </w:pPr>
            <w:r>
              <w:rPr>
                <w:rFonts w:ascii="Calibri" w:hAnsi="Calibri"/>
                <w:b w:val="0"/>
                <w:i w:val="0"/>
                <w:color w:val="163A63"/>
                <w:sz w:val="17"/>
              </w:rPr>
              <w:t>Studio project</w:t>
            </w:r>
          </w:p>
        </w:tc>
        <w:tc>
          <w:tcPr>
            <w:tcW w:type="dxa" w:w="4660"/>
            <w:vAlign w:val="center"/>
          </w:tcPr>
          <w:p>
            <w:pPr>
              <w:spacing w:after="40" w:line="252" w:lineRule="auto"/>
            </w:pPr>
            <w:r>
              <w:rPr>
                <w:rFonts w:ascii="Calibri" w:hAnsi="Calibri"/>
                <w:b w:val="0"/>
                <w:i w:val="0"/>
                <w:color w:val="163A63"/>
                <w:sz w:val="17"/>
              </w:rPr>
              <w:t>C:\DelphiProjects\Delphi App Translation\DelphiAppTranslationStudio.dproj</w:t>
            </w:r>
          </w:p>
        </w:tc>
        <w:tc>
          <w:tcPr>
            <w:tcW w:type="dxa" w:w="2800"/>
            <w:vAlign w:val="center"/>
          </w:tcPr>
          <w:p>
            <w:pPr>
              <w:spacing w:after="40" w:line="252" w:lineRule="auto"/>
            </w:pPr>
            <w:r>
              <w:rPr>
                <w:rFonts w:ascii="Calibri" w:hAnsi="Calibri"/>
                <w:b w:val="0"/>
                <w:i w:val="0"/>
                <w:color w:val="163A63"/>
                <w:sz w:val="17"/>
              </w:rPr>
              <w:t>Open this in RAD Studio 13 Florence.</w:t>
            </w:r>
          </w:p>
        </w:tc>
      </w:tr>
      <w:tr>
        <w:trPr>
          <w:cantSplit/>
        </w:trPr>
        <w:tc>
          <w:tcPr>
            <w:tcW w:type="dxa" w:w="1900"/>
            <w:vAlign w:val="center"/>
            <w:shd w:fill="F6F9FC"/>
          </w:tcPr>
          <w:p>
            <w:pPr>
              <w:spacing w:after="40" w:line="252" w:lineRule="auto"/>
            </w:pPr>
            <w:r>
              <w:rPr>
                <w:rFonts w:ascii="Calibri" w:hAnsi="Calibri"/>
                <w:b w:val="0"/>
                <w:i w:val="0"/>
                <w:color w:val="163A63"/>
                <w:sz w:val="17"/>
              </w:rPr>
              <w:t>Studio form</w:t>
            </w:r>
          </w:p>
        </w:tc>
        <w:tc>
          <w:tcPr>
            <w:tcW w:type="dxa" w:w="4660"/>
            <w:vAlign w:val="center"/>
            <w:shd w:fill="F6F9FC"/>
          </w:tcPr>
          <w:p>
            <w:pPr>
              <w:spacing w:after="40" w:line="252" w:lineRule="auto"/>
            </w:pPr>
            <w:r>
              <w:rPr>
                <w:rFonts w:ascii="Calibri" w:hAnsi="Calibri"/>
                <w:b w:val="0"/>
                <w:i w:val="0"/>
                <w:color w:val="163A63"/>
                <w:sz w:val="17"/>
              </w:rPr>
              <w:t>C:\DelphiProjects\Delphi App Translation\source\studio\DAT.Studio.MainForm.fmx</w:t>
            </w:r>
          </w:p>
        </w:tc>
        <w:tc>
          <w:tcPr>
            <w:tcW w:type="dxa" w:w="2800"/>
            <w:vAlign w:val="center"/>
            <w:shd w:fill="F6F9FC"/>
          </w:tcPr>
          <w:p>
            <w:pPr>
              <w:spacing w:after="40" w:line="252" w:lineRule="auto"/>
            </w:pPr>
            <w:r>
              <w:rPr>
                <w:rFonts w:ascii="Calibri" w:hAnsi="Calibri"/>
                <w:b w:val="0"/>
                <w:i w:val="0"/>
                <w:color w:val="163A63"/>
                <w:sz w:val="17"/>
              </w:rPr>
              <w:t>Designer-authored FMX user interface.</w:t>
            </w:r>
          </w:p>
        </w:tc>
      </w:tr>
      <w:tr>
        <w:trPr>
          <w:cantSplit/>
        </w:trPr>
        <w:tc>
          <w:tcPr>
            <w:tcW w:type="dxa" w:w="1900"/>
            <w:vAlign w:val="center"/>
          </w:tcPr>
          <w:p>
            <w:pPr>
              <w:spacing w:after="40" w:line="252" w:lineRule="auto"/>
            </w:pPr>
            <w:r>
              <w:rPr>
                <w:rFonts w:ascii="Calibri" w:hAnsi="Calibri"/>
                <w:b w:val="0"/>
                <w:i w:val="0"/>
                <w:color w:val="163A63"/>
                <w:sz w:val="17"/>
              </w:rPr>
              <w:t>Complete release gate</w:t>
            </w:r>
          </w:p>
        </w:tc>
        <w:tc>
          <w:tcPr>
            <w:tcW w:type="dxa" w:w="4660"/>
            <w:vAlign w:val="center"/>
          </w:tcPr>
          <w:p>
            <w:pPr>
              <w:spacing w:after="40" w:line="252" w:lineRule="auto"/>
            </w:pPr>
            <w:r>
              <w:rPr>
                <w:rFonts w:ascii="Calibri" w:hAnsi="Calibri"/>
                <w:b w:val="0"/>
                <w:i w:val="0"/>
                <w:color w:val="163A63"/>
                <w:sz w:val="17"/>
              </w:rPr>
              <w:t>C:\DelphiProjects\Delphi App Translation\tools\tests\RunPhase10ReleaseValidation.ps1</w:t>
            </w:r>
          </w:p>
        </w:tc>
        <w:tc>
          <w:tcPr>
            <w:tcW w:type="dxa" w:w="2800"/>
            <w:vAlign w:val="center"/>
          </w:tcPr>
          <w:p>
            <w:pPr>
              <w:spacing w:after="40" w:line="252" w:lineRule="auto"/>
            </w:pPr>
            <w:r>
              <w:rPr>
                <w:rFonts w:ascii="Calibri" w:hAnsi="Calibri"/>
                <w:b w:val="0"/>
                <w:i w:val="0"/>
                <w:color w:val="163A63"/>
                <w:sz w:val="17"/>
              </w:rPr>
              <w:t>Builds and tests the supported matrix.</w:t>
            </w:r>
          </w:p>
        </w:tc>
      </w:tr>
      <w:tr>
        <w:trPr>
          <w:cantSplit/>
        </w:trPr>
        <w:tc>
          <w:tcPr>
            <w:tcW w:type="dxa" w:w="1900"/>
            <w:vAlign w:val="center"/>
            <w:shd w:fill="F6F9FC"/>
          </w:tcPr>
          <w:p>
            <w:pPr>
              <w:spacing w:after="40" w:line="252" w:lineRule="auto"/>
            </w:pPr>
            <w:r>
              <w:rPr>
                <w:rFonts w:ascii="Calibri" w:hAnsi="Calibri"/>
                <w:b w:val="0"/>
                <w:i w:val="0"/>
                <w:color w:val="163A63"/>
                <w:sz w:val="17"/>
              </w:rPr>
              <w:t>Component-kit output root</w:t>
            </w:r>
          </w:p>
        </w:tc>
        <w:tc>
          <w:tcPr>
            <w:tcW w:type="dxa" w:w="4660"/>
            <w:vAlign w:val="center"/>
            <w:shd w:fill="F6F9FC"/>
          </w:tcPr>
          <w:p>
            <w:pPr>
              <w:spacing w:after="40" w:line="252" w:lineRule="auto"/>
            </w:pPr>
            <w:r>
              <w:rPr>
                <w:rFonts w:ascii="Calibri" w:hAnsi="Calibri"/>
                <w:b w:val="0"/>
                <w:i w:val="0"/>
                <w:color w:val="163A63"/>
                <w:sz w:val="17"/>
              </w:rPr>
              <w:t>C:\DelphiProjects\Delphi App Translation\export\component-integration</w:t>
            </w:r>
          </w:p>
        </w:tc>
        <w:tc>
          <w:tcPr>
            <w:tcW w:type="dxa" w:w="2800"/>
            <w:vAlign w:val="center"/>
            <w:shd w:fill="F6F9FC"/>
          </w:tcPr>
          <w:p>
            <w:pPr>
              <w:spacing w:after="40" w:line="252" w:lineRule="auto"/>
            </w:pPr>
            <w:r>
              <w:rPr>
                <w:rFonts w:ascii="Calibri" w:hAnsi="Calibri"/>
                <w:b w:val="0"/>
                <w:i w:val="0"/>
                <w:color w:val="163A63"/>
                <w:sz w:val="17"/>
              </w:rPr>
              <w:t>Generated by the recommended Integration mode.</w:t>
            </w:r>
          </w:p>
        </w:tc>
      </w:tr>
      <w:tr>
        <w:trPr>
          <w:cantSplit/>
        </w:trPr>
        <w:tc>
          <w:tcPr>
            <w:tcW w:type="dxa" w:w="1900"/>
            <w:vAlign w:val="center"/>
          </w:tcPr>
          <w:p>
            <w:pPr>
              <w:spacing w:after="40" w:line="252" w:lineRule="auto"/>
            </w:pPr>
            <w:r>
              <w:rPr>
                <w:rFonts w:ascii="Calibri" w:hAnsi="Calibri"/>
                <w:b w:val="0"/>
                <w:i w:val="0"/>
                <w:color w:val="163A63"/>
                <w:sz w:val="17"/>
              </w:rPr>
              <w:t>Project-local development catalogs</w:t>
            </w:r>
          </w:p>
        </w:tc>
        <w:tc>
          <w:tcPr>
            <w:tcW w:type="dxa" w:w="4660"/>
            <w:vAlign w:val="center"/>
          </w:tcPr>
          <w:p>
            <w:pPr>
              <w:spacing w:after="40" w:line="252" w:lineRule="auto"/>
            </w:pPr>
            <w:r>
              <w:rPr>
                <w:rFonts w:ascii="Calibri" w:hAnsi="Calibri"/>
                <w:b w:val="0"/>
                <w:i w:val="0"/>
                <w:color w:val="163A63"/>
                <w:sz w:val="17"/>
              </w:rPr>
              <w:t>&lt;Target&gt;\Localization\Development</w:t>
            </w:r>
          </w:p>
        </w:tc>
        <w:tc>
          <w:tcPr>
            <w:tcW w:type="dxa" w:w="2800"/>
            <w:vAlign w:val="center"/>
          </w:tcPr>
          <w:p>
            <w:pPr>
              <w:spacing w:after="40" w:line="252" w:lineRule="auto"/>
            </w:pPr>
            <w:r>
              <w:rPr>
                <w:rFonts w:ascii="Calibri" w:hAnsi="Calibri"/>
                <w:b w:val="0"/>
                <w:i w:val="0"/>
                <w:color w:val="163A63"/>
                <w:sz w:val="17"/>
              </w:rPr>
              <w:t>Lossless editable JSON catalogs; not runtime deployment files.</w:t>
            </w:r>
          </w:p>
        </w:tc>
      </w:tr>
      <w:tr>
        <w:trPr>
          <w:cantSplit/>
        </w:trPr>
        <w:tc>
          <w:tcPr>
            <w:tcW w:type="dxa" w:w="1900"/>
            <w:vAlign w:val="center"/>
            <w:shd w:fill="F6F9FC"/>
          </w:tcPr>
          <w:p>
            <w:pPr>
              <w:spacing w:after="40" w:line="252" w:lineRule="auto"/>
            </w:pPr>
            <w:r>
              <w:rPr>
                <w:rFonts w:ascii="Calibri" w:hAnsi="Calibri"/>
                <w:b w:val="0"/>
                <w:i w:val="0"/>
                <w:color w:val="163A63"/>
                <w:sz w:val="17"/>
              </w:rPr>
              <w:t>Project-local runtime packs</w:t>
            </w:r>
          </w:p>
        </w:tc>
        <w:tc>
          <w:tcPr>
            <w:tcW w:type="dxa" w:w="4660"/>
            <w:vAlign w:val="center"/>
            <w:shd w:fill="F6F9FC"/>
          </w:tcPr>
          <w:p>
            <w:pPr>
              <w:spacing w:after="40" w:line="252" w:lineRule="auto"/>
            </w:pPr>
            <w:r>
              <w:rPr>
                <w:rFonts w:ascii="Calibri" w:hAnsi="Calibri"/>
                <w:b w:val="0"/>
                <w:i w:val="0"/>
                <w:color w:val="163A63"/>
                <w:sz w:val="17"/>
              </w:rPr>
              <w:t>&lt;Target&gt;\Localization\Languages</w:t>
            </w:r>
          </w:p>
        </w:tc>
        <w:tc>
          <w:tcPr>
            <w:tcW w:type="dxa" w:w="2800"/>
            <w:vAlign w:val="center"/>
            <w:shd w:fill="F6F9FC"/>
          </w:tcPr>
          <w:p>
            <w:pPr>
              <w:spacing w:after="40" w:line="252" w:lineRule="auto"/>
            </w:pPr>
            <w:r>
              <w:rPr>
                <w:rFonts w:ascii="Calibri" w:hAnsi="Calibri"/>
                <w:b w:val="0"/>
                <w:i w:val="0"/>
                <w:color w:val="163A63"/>
                <w:sz w:val="17"/>
              </w:rPr>
              <w:t>Compact offline JSON packs produced by Export.</w:t>
            </w:r>
          </w:p>
        </w:tc>
      </w:tr>
      <w:tr>
        <w:trPr>
          <w:cantSplit/>
        </w:trPr>
        <w:tc>
          <w:tcPr>
            <w:tcW w:type="dxa" w:w="1900"/>
            <w:vAlign w:val="center"/>
          </w:tcPr>
          <w:p>
            <w:pPr>
              <w:spacing w:after="40" w:line="252" w:lineRule="auto"/>
            </w:pPr>
            <w:r>
              <w:rPr>
                <w:rFonts w:ascii="Calibri" w:hAnsi="Calibri"/>
                <w:b w:val="0"/>
                <w:i w:val="0"/>
                <w:color w:val="163A63"/>
                <w:sz w:val="17"/>
              </w:rPr>
              <w:t>Per-user language preference</w:t>
            </w:r>
          </w:p>
        </w:tc>
        <w:tc>
          <w:tcPr>
            <w:tcW w:type="dxa" w:w="4660"/>
            <w:vAlign w:val="center"/>
          </w:tcPr>
          <w:p>
            <w:pPr>
              <w:spacing w:after="40" w:line="252" w:lineRule="auto"/>
            </w:pPr>
            <w:r>
              <w:rPr>
                <w:rFonts w:ascii="Calibri" w:hAnsi="Calibri"/>
                <w:b w:val="0"/>
                <w:i w:val="0"/>
                <w:color w:val="163A63"/>
                <w:sz w:val="17"/>
              </w:rPr>
              <w:t>%LOCALAPPDATA%\&lt;ApplicationId&gt;\language.ini</w:t>
            </w:r>
          </w:p>
        </w:tc>
        <w:tc>
          <w:tcPr>
            <w:tcW w:type="dxa" w:w="2800"/>
            <w:vAlign w:val="center"/>
          </w:tcPr>
          <w:p>
            <w:pPr>
              <w:spacing w:after="40" w:line="252" w:lineRule="auto"/>
            </w:pPr>
            <w:r>
              <w:rPr>
                <w:rFonts w:ascii="Calibri" w:hAnsi="Calibri"/>
                <w:b w:val="0"/>
                <w:i w:val="0"/>
                <w:color w:val="163A63"/>
                <w:sz w:val="17"/>
              </w:rPr>
              <w:t>Stores the last selected language; does not alter the application folder.</w:t>
            </w:r>
          </w:p>
        </w:tc>
      </w:tr>
    </w:tbl>
    <w:p/>
    <w:p>
      <w:pPr>
        <w:pStyle w:val="Heading2"/>
      </w:pPr>
      <w:r>
        <w:t>2.1 Studio executable matrix</w:t>
      </w:r>
    </w:p>
    <w:tbl>
      <w:tblPr>
        <w:tblStyle w:val="TableGrid"/>
        <w:jc w:val="center"/>
        <w:tblLook w:firstColumn="1" w:firstRow="1" w:lastColumn="0" w:lastRow="0" w:noHBand="0" w:noVBand="1" w:val="04A0"/>
        <w:tblW w:w="9360" w:type="dxa"/>
        <w:tblInd w:w="120" w:type="dxa"/>
        <w:tblLayout w:type="fixed"/>
        <w:tblCellMar>
          <w:top w:w="80" w:type="dxa"/>
          <w:bottom w:w="80" w:type="dxa"/>
          <w:start w:w="120" w:type="dxa"/>
          <w:end w:w="120" w:type="dxa"/>
        </w:tblCellMar>
      </w:tblPr>
      <w:tblGrid>
        <w:gridCol w:w="1900"/>
        <w:gridCol w:w="7460"/>
      </w:tblGrid>
      <w:tr>
        <w:trPr>
          <w:tblHeader w:val="true"/>
        </w:trPr>
        <w:tc>
          <w:tcPr>
            <w:tcW w:type="dxa" w:w="1900"/>
            <w:shd w:fill="234C80"/>
            <w:vAlign w:val="center"/>
          </w:tcPr>
          <w:p>
            <w:r>
              <w:rPr>
                <w:rFonts w:ascii="Calibri" w:hAnsi="Calibri"/>
                <w:b/>
                <w:i w:val="0"/>
                <w:color w:val="FFFFFF"/>
                <w:sz w:val="18"/>
              </w:rPr>
              <w:t>Build</w:t>
            </w:r>
          </w:p>
        </w:tc>
        <w:tc>
          <w:tcPr>
            <w:tcW w:type="dxa" w:w="7460"/>
            <w:shd w:fill="234C80"/>
            <w:vAlign w:val="center"/>
          </w:tcPr>
          <w:p>
            <w:r>
              <w:rPr>
                <w:rFonts w:ascii="Calibri" w:hAnsi="Calibri"/>
                <w:b/>
                <w:i w:val="0"/>
                <w:color w:val="FFFFFF"/>
                <w:sz w:val="18"/>
              </w:rPr>
              <w:t>Exact executable</w:t>
            </w:r>
          </w:p>
        </w:tc>
      </w:tr>
      <w:tr>
        <w:trPr>
          <w:cantSplit/>
        </w:trPr>
        <w:tc>
          <w:tcPr>
            <w:tcW w:type="dxa" w:w="1900"/>
            <w:vAlign w:val="center"/>
          </w:tcPr>
          <w:p>
            <w:pPr>
              <w:spacing w:after="40" w:line="252" w:lineRule="auto"/>
            </w:pPr>
            <w:r>
              <w:rPr>
                <w:rFonts w:ascii="Calibri" w:hAnsi="Calibri"/>
                <w:b w:val="0"/>
                <w:i w:val="0"/>
                <w:color w:val="163A63"/>
                <w:sz w:val="18"/>
              </w:rPr>
              <w:t>Win32 Debug</w:t>
            </w:r>
          </w:p>
        </w:tc>
        <w:tc>
          <w:tcPr>
            <w:tcW w:type="dxa" w:w="7460"/>
            <w:vAlign w:val="center"/>
          </w:tcPr>
          <w:p>
            <w:pPr>
              <w:spacing w:after="40" w:line="252" w:lineRule="auto"/>
            </w:pPr>
            <w:r>
              <w:rPr>
                <w:rFonts w:ascii="Calibri" w:hAnsi="Calibri"/>
                <w:b w:val="0"/>
                <w:i w:val="0"/>
                <w:color w:val="163A63"/>
                <w:sz w:val="18"/>
              </w:rPr>
              <w:t>C:\DelphiProjects\Delphi App Translation\bin\Win32\Debug\DelphiAppTranslationStudio.exe</w:t>
            </w:r>
          </w:p>
        </w:tc>
      </w:tr>
      <w:tr>
        <w:trPr>
          <w:cantSplit/>
        </w:trPr>
        <w:tc>
          <w:tcPr>
            <w:tcW w:type="dxa" w:w="1900"/>
            <w:vAlign w:val="center"/>
            <w:shd w:fill="F6F9FC"/>
          </w:tcPr>
          <w:p>
            <w:pPr>
              <w:spacing w:after="40" w:line="252" w:lineRule="auto"/>
            </w:pPr>
            <w:r>
              <w:rPr>
                <w:rFonts w:ascii="Calibri" w:hAnsi="Calibri"/>
                <w:b w:val="0"/>
                <w:i w:val="0"/>
                <w:color w:val="163A63"/>
                <w:sz w:val="18"/>
              </w:rPr>
              <w:t>Win32 Release</w:t>
            </w:r>
          </w:p>
        </w:tc>
        <w:tc>
          <w:tcPr>
            <w:tcW w:type="dxa" w:w="7460"/>
            <w:vAlign w:val="center"/>
            <w:shd w:fill="F6F9FC"/>
          </w:tcPr>
          <w:p>
            <w:pPr>
              <w:spacing w:after="40" w:line="252" w:lineRule="auto"/>
            </w:pPr>
            <w:r>
              <w:rPr>
                <w:rFonts w:ascii="Calibri" w:hAnsi="Calibri"/>
                <w:b w:val="0"/>
                <w:i w:val="0"/>
                <w:color w:val="163A63"/>
                <w:sz w:val="18"/>
              </w:rPr>
              <w:t>C:\DelphiProjects\Delphi App Translation\bin\Win32\Release\DelphiAppTranslationStudio.exe</w:t>
            </w:r>
          </w:p>
        </w:tc>
      </w:tr>
      <w:tr>
        <w:trPr>
          <w:cantSplit/>
        </w:trPr>
        <w:tc>
          <w:tcPr>
            <w:tcW w:type="dxa" w:w="1900"/>
            <w:vAlign w:val="center"/>
          </w:tcPr>
          <w:p>
            <w:pPr>
              <w:spacing w:after="40" w:line="252" w:lineRule="auto"/>
            </w:pPr>
            <w:r>
              <w:rPr>
                <w:rFonts w:ascii="Calibri" w:hAnsi="Calibri"/>
                <w:b w:val="0"/>
                <w:i w:val="0"/>
                <w:color w:val="163A63"/>
                <w:sz w:val="18"/>
              </w:rPr>
              <w:t>Win64 Debug</w:t>
            </w:r>
          </w:p>
        </w:tc>
        <w:tc>
          <w:tcPr>
            <w:tcW w:type="dxa" w:w="7460"/>
            <w:vAlign w:val="center"/>
          </w:tcPr>
          <w:p>
            <w:pPr>
              <w:spacing w:after="40" w:line="252" w:lineRule="auto"/>
            </w:pPr>
            <w:r>
              <w:rPr>
                <w:rFonts w:ascii="Calibri" w:hAnsi="Calibri"/>
                <w:b w:val="0"/>
                <w:i w:val="0"/>
                <w:color w:val="163A63"/>
                <w:sz w:val="18"/>
              </w:rPr>
              <w:t>C:\DelphiProjects\Delphi App Translation\bin\Win64\Debug\DelphiAppTranslationStudio.exe</w:t>
            </w:r>
          </w:p>
        </w:tc>
      </w:tr>
      <w:tr>
        <w:trPr>
          <w:cantSplit/>
        </w:trPr>
        <w:tc>
          <w:tcPr>
            <w:tcW w:type="dxa" w:w="1900"/>
            <w:vAlign w:val="center"/>
            <w:shd w:fill="F6F9FC"/>
          </w:tcPr>
          <w:p>
            <w:pPr>
              <w:spacing w:after="40" w:line="252" w:lineRule="auto"/>
            </w:pPr>
            <w:r>
              <w:rPr>
                <w:rFonts w:ascii="Calibri" w:hAnsi="Calibri"/>
                <w:b w:val="0"/>
                <w:i w:val="0"/>
                <w:color w:val="163A63"/>
                <w:sz w:val="18"/>
              </w:rPr>
              <w:t>Win64 Release</w:t>
            </w:r>
          </w:p>
        </w:tc>
        <w:tc>
          <w:tcPr>
            <w:tcW w:type="dxa" w:w="7460"/>
            <w:vAlign w:val="center"/>
            <w:shd w:fill="F6F9FC"/>
          </w:tcPr>
          <w:p>
            <w:pPr>
              <w:spacing w:after="40" w:line="252" w:lineRule="auto"/>
            </w:pPr>
            <w:r>
              <w:rPr>
                <w:rFonts w:ascii="Calibri" w:hAnsi="Calibri"/>
                <w:b w:val="0"/>
                <w:i w:val="0"/>
                <w:color w:val="163A63"/>
                <w:sz w:val="18"/>
              </w:rPr>
              <w:t>C:\DelphiProjects\Delphi App Translation\bin\Win64\Release\DelphiAppTranslationStudio.exe</w:t>
            </w:r>
          </w:p>
        </w:tc>
      </w:tr>
    </w:tbl>
    <w:p/>
    <w:tbl>
      <w:tblPr>
        <w:jc w:val="center"/>
        <w:tblLook w:firstColumn="1" w:firstRow="1" w:lastColumn="0" w:lastRow="0" w:noHBand="0" w:noVBand="1" w:val="04A0"/>
        <w:tblW w:w="9360" w:type="dxa"/>
        <w:tblInd w:w="120" w:type="dxa"/>
        <w:tblLayout w:type="fixed"/>
        <w:tblCellMar>
          <w:top w:w="80" w:type="dxa"/>
          <w:bottom w:w="80" w:type="dxa"/>
          <w:start w:w="120" w:type="dxa"/>
          <w:end w:w="120" w:type="dxa"/>
        </w:tblCellMar>
      </w:tblPr>
      <w:tblGrid>
        <w:gridCol w:w="9360"/>
      </w:tblGrid>
      <w:tr>
        <w:trPr>
          <w:cantSplit/>
          <w:tblHeader w:val="true"/>
        </w:trPr>
        <w:tc>
          <w:tcPr>
            <w:tcW w:type="dxa" w:w="9360"/>
            <w:shd w:fill="EAF3FF"/>
            <w:vAlign w:val="center"/>
          </w:tcPr>
          <w:p>
            <w:pPr>
              <w:pStyle w:val="Callout"/>
            </w:pPr>
            <w:r>
              <w:rPr>
                <w:b/>
                <w:color w:val="234C80"/>
              </w:rPr>
              <w:t xml:space="preserve">Recommended first manual run. </w:t>
            </w:r>
            <w:r>
              <w:t>Use the Win32 Debug Studio executable. After the workflow succeeds, repeat the launch and essential scan checks with Win64 Debug and both Release builds.</w:t>
            </w:r>
          </w:p>
        </w:tc>
      </w:tr>
    </w:tbl>
    <w:p>
      <w:pPr>
        <w:pStyle w:val="Heading2"/>
      </w:pPr>
      <w:r>
        <w:t>2.2 Package source and build outputs</w:t>
      </w:r>
    </w:p>
    <w:tbl>
      <w:tblPr>
        <w:tblStyle w:val="TableGrid"/>
        <w:jc w:val="center"/>
        <w:tblLook w:firstColumn="1" w:firstRow="1" w:lastColumn="0" w:lastRow="0" w:noHBand="0" w:noVBand="1" w:val="04A0"/>
        <w:tblW w:w="9360" w:type="dxa"/>
        <w:tblInd w:w="120" w:type="dxa"/>
        <w:tblLayout w:type="fixed"/>
        <w:tblCellMar>
          <w:top w:w="80" w:type="dxa"/>
          <w:bottom w:w="80" w:type="dxa"/>
          <w:start w:w="120" w:type="dxa"/>
          <w:end w:w="120" w:type="dxa"/>
        </w:tblCellMar>
      </w:tblPr>
      <w:tblGrid>
        <w:gridCol w:w="1700"/>
        <w:gridCol w:w="3500"/>
        <w:gridCol w:w="4160"/>
      </w:tblGrid>
      <w:tr>
        <w:trPr>
          <w:tblHeader w:val="true"/>
        </w:trPr>
        <w:tc>
          <w:tcPr>
            <w:tcW w:type="dxa" w:w="1700"/>
            <w:shd w:fill="234C80"/>
            <w:vAlign w:val="center"/>
          </w:tcPr>
          <w:p>
            <w:r>
              <w:rPr>
                <w:rFonts w:ascii="Calibri" w:hAnsi="Calibri"/>
                <w:b/>
                <w:i w:val="0"/>
                <w:color w:val="FFFFFF"/>
                <w:sz w:val="17"/>
              </w:rPr>
              <w:t>Package</w:t>
            </w:r>
          </w:p>
        </w:tc>
        <w:tc>
          <w:tcPr>
            <w:tcW w:type="dxa" w:w="3500"/>
            <w:shd w:fill="234C80"/>
            <w:vAlign w:val="center"/>
          </w:tcPr>
          <w:p>
            <w:r>
              <w:rPr>
                <w:rFonts w:ascii="Calibri" w:hAnsi="Calibri"/>
                <w:b/>
                <w:i w:val="0"/>
                <w:color w:val="FFFFFF"/>
                <w:sz w:val="17"/>
              </w:rPr>
              <w:t>Source DPK</w:t>
            </w:r>
          </w:p>
        </w:tc>
        <w:tc>
          <w:tcPr>
            <w:tcW w:type="dxa" w:w="4160"/>
            <w:shd w:fill="234C80"/>
            <w:vAlign w:val="center"/>
          </w:tcPr>
          <w:p>
            <w:r>
              <w:rPr>
                <w:rFonts w:ascii="Calibri" w:hAnsi="Calibri"/>
                <w:b/>
                <w:i w:val="0"/>
                <w:color w:val="FFFFFF"/>
                <w:sz w:val="17"/>
              </w:rPr>
              <w:t>Built output</w:t>
            </w:r>
          </w:p>
        </w:tc>
      </w:tr>
      <w:tr>
        <w:trPr>
          <w:cantSplit/>
        </w:trPr>
        <w:tc>
          <w:tcPr>
            <w:tcW w:type="dxa" w:w="1700"/>
            <w:vAlign w:val="center"/>
          </w:tcPr>
          <w:p>
            <w:pPr>
              <w:spacing w:after="40" w:line="252" w:lineRule="auto"/>
            </w:pPr>
            <w:r>
              <w:rPr>
                <w:rFonts w:ascii="Calibri" w:hAnsi="Calibri"/>
                <w:b w:val="0"/>
                <w:i w:val="0"/>
                <w:color w:val="163A63"/>
                <w:sz w:val="17"/>
              </w:rPr>
              <w:t>Core runtime</w:t>
            </w:r>
          </w:p>
        </w:tc>
        <w:tc>
          <w:tcPr>
            <w:tcW w:type="dxa" w:w="3500"/>
            <w:vAlign w:val="center"/>
          </w:tcPr>
          <w:p>
            <w:pPr>
              <w:spacing w:after="40" w:line="252" w:lineRule="auto"/>
            </w:pPr>
            <w:r>
              <w:rPr>
                <w:rFonts w:ascii="Calibri" w:hAnsi="Calibri"/>
                <w:b w:val="0"/>
                <w:i w:val="0"/>
                <w:color w:val="163A63"/>
                <w:sz w:val="17"/>
              </w:rPr>
              <w:t>packages\runtime\DATLanguageManagerCoreRuntime.dpk</w:t>
            </w:r>
          </w:p>
        </w:tc>
        <w:tc>
          <w:tcPr>
            <w:tcW w:type="dxa" w:w="4160"/>
            <w:vAlign w:val="center"/>
          </w:tcPr>
          <w:p>
            <w:pPr>
              <w:spacing w:after="40" w:line="252" w:lineRule="auto"/>
            </w:pPr>
            <w:r>
              <w:rPr>
                <w:rFonts w:ascii="Calibri" w:hAnsi="Calibri"/>
                <w:b w:val="0"/>
                <w:i w:val="0"/>
                <w:color w:val="163A63"/>
                <w:sz w:val="17"/>
              </w:rPr>
              <w:t>bin\packages\&lt;Platform&gt;\&lt;Config&gt;\DATLanguageManagerCoreRuntime.bpl/.dcp</w:t>
            </w:r>
          </w:p>
        </w:tc>
      </w:tr>
      <w:tr>
        <w:trPr>
          <w:cantSplit/>
        </w:trPr>
        <w:tc>
          <w:tcPr>
            <w:tcW w:type="dxa" w:w="1700"/>
            <w:vAlign w:val="center"/>
            <w:shd w:fill="F6F9FC"/>
          </w:tcPr>
          <w:p>
            <w:pPr>
              <w:spacing w:after="40" w:line="252" w:lineRule="auto"/>
            </w:pPr>
            <w:r>
              <w:rPr>
                <w:rFonts w:ascii="Calibri" w:hAnsi="Calibri"/>
                <w:b w:val="0"/>
                <w:i w:val="0"/>
                <w:color w:val="163A63"/>
                <w:sz w:val="17"/>
              </w:rPr>
              <w:t>VCL runtime</w:t>
            </w:r>
          </w:p>
        </w:tc>
        <w:tc>
          <w:tcPr>
            <w:tcW w:type="dxa" w:w="3500"/>
            <w:vAlign w:val="center"/>
            <w:shd w:fill="F6F9FC"/>
          </w:tcPr>
          <w:p>
            <w:pPr>
              <w:spacing w:after="40" w:line="252" w:lineRule="auto"/>
            </w:pPr>
            <w:r>
              <w:rPr>
                <w:rFonts w:ascii="Calibri" w:hAnsi="Calibri"/>
                <w:b w:val="0"/>
                <w:i w:val="0"/>
                <w:color w:val="163A63"/>
                <w:sz w:val="17"/>
              </w:rPr>
              <w:t>packages\runtime\DATLanguageManagerVCLRuntime.dpk</w:t>
            </w:r>
          </w:p>
        </w:tc>
        <w:tc>
          <w:tcPr>
            <w:tcW w:type="dxa" w:w="4160"/>
            <w:vAlign w:val="center"/>
            <w:shd w:fill="F6F9FC"/>
          </w:tcPr>
          <w:p>
            <w:pPr>
              <w:spacing w:after="40" w:line="252" w:lineRule="auto"/>
            </w:pPr>
            <w:r>
              <w:rPr>
                <w:rFonts w:ascii="Calibri" w:hAnsi="Calibri"/>
                <w:b w:val="0"/>
                <w:i w:val="0"/>
                <w:color w:val="163A63"/>
                <w:sz w:val="17"/>
              </w:rPr>
              <w:t>bin\packages\&lt;Platform&gt;\&lt;Config&gt;\DATLanguageManagerVCLRuntime.bpl/.dcp</w:t>
            </w:r>
          </w:p>
        </w:tc>
      </w:tr>
      <w:tr>
        <w:trPr>
          <w:cantSplit/>
        </w:trPr>
        <w:tc>
          <w:tcPr>
            <w:tcW w:type="dxa" w:w="1700"/>
            <w:vAlign w:val="center"/>
          </w:tcPr>
          <w:p>
            <w:pPr>
              <w:spacing w:after="40" w:line="252" w:lineRule="auto"/>
            </w:pPr>
            <w:r>
              <w:rPr>
                <w:rFonts w:ascii="Calibri" w:hAnsi="Calibri"/>
                <w:b w:val="0"/>
                <w:i w:val="0"/>
                <w:color w:val="163A63"/>
                <w:sz w:val="17"/>
              </w:rPr>
              <w:t>FMX runtime</w:t>
            </w:r>
          </w:p>
        </w:tc>
        <w:tc>
          <w:tcPr>
            <w:tcW w:type="dxa" w:w="3500"/>
            <w:vAlign w:val="center"/>
          </w:tcPr>
          <w:p>
            <w:pPr>
              <w:spacing w:after="40" w:line="252" w:lineRule="auto"/>
            </w:pPr>
            <w:r>
              <w:rPr>
                <w:rFonts w:ascii="Calibri" w:hAnsi="Calibri"/>
                <w:b w:val="0"/>
                <w:i w:val="0"/>
                <w:color w:val="163A63"/>
                <w:sz w:val="17"/>
              </w:rPr>
              <w:t>packages\runtime\DATLanguageManagerFMXRuntime.dpk</w:t>
            </w:r>
          </w:p>
        </w:tc>
        <w:tc>
          <w:tcPr>
            <w:tcW w:type="dxa" w:w="4160"/>
            <w:vAlign w:val="center"/>
          </w:tcPr>
          <w:p>
            <w:pPr>
              <w:spacing w:after="40" w:line="252" w:lineRule="auto"/>
            </w:pPr>
            <w:r>
              <w:rPr>
                <w:rFonts w:ascii="Calibri" w:hAnsi="Calibri"/>
                <w:b w:val="0"/>
                <w:i w:val="0"/>
                <w:color w:val="163A63"/>
                <w:sz w:val="17"/>
              </w:rPr>
              <w:t>bin\packages\&lt;Platform&gt;\&lt;Config&gt;\DATLanguageManagerFMXRuntime.bpl/.dcp</w:t>
            </w:r>
          </w:p>
        </w:tc>
      </w:tr>
      <w:tr>
        <w:trPr>
          <w:cantSplit/>
        </w:trPr>
        <w:tc>
          <w:tcPr>
            <w:tcW w:type="dxa" w:w="1700"/>
            <w:vAlign w:val="center"/>
            <w:shd w:fill="F6F9FC"/>
          </w:tcPr>
          <w:p>
            <w:pPr>
              <w:spacing w:after="40" w:line="252" w:lineRule="auto"/>
            </w:pPr>
            <w:r>
              <w:rPr>
                <w:rFonts w:ascii="Calibri" w:hAnsi="Calibri"/>
                <w:b w:val="0"/>
                <w:i w:val="0"/>
                <w:color w:val="163A63"/>
                <w:sz w:val="17"/>
              </w:rPr>
              <w:t>VCL design</w:t>
            </w:r>
          </w:p>
        </w:tc>
        <w:tc>
          <w:tcPr>
            <w:tcW w:type="dxa" w:w="3500"/>
            <w:vAlign w:val="center"/>
            <w:shd w:fill="F6F9FC"/>
          </w:tcPr>
          <w:p>
            <w:pPr>
              <w:spacing w:after="40" w:line="252" w:lineRule="auto"/>
            </w:pPr>
            <w:r>
              <w:rPr>
                <w:rFonts w:ascii="Calibri" w:hAnsi="Calibri"/>
                <w:b w:val="0"/>
                <w:i w:val="0"/>
                <w:color w:val="163A63"/>
                <w:sz w:val="17"/>
              </w:rPr>
              <w:t>packages\design\DATLanguageManagerVCLDesign.dpk</w:t>
            </w:r>
          </w:p>
        </w:tc>
        <w:tc>
          <w:tcPr>
            <w:tcW w:type="dxa" w:w="4160"/>
            <w:vAlign w:val="center"/>
            <w:shd w:fill="F6F9FC"/>
          </w:tcPr>
          <w:p>
            <w:pPr>
              <w:spacing w:after="40" w:line="252" w:lineRule="auto"/>
            </w:pPr>
            <w:r>
              <w:rPr>
                <w:rFonts w:ascii="Calibri" w:hAnsi="Calibri"/>
                <w:b w:val="0"/>
                <w:i w:val="0"/>
                <w:color w:val="163A63"/>
                <w:sz w:val="17"/>
              </w:rPr>
              <w:t>bin\packages\Win32\&lt;Config&gt;\DATLanguageManagerVCLDesign.bpl/.dcp</w:t>
            </w:r>
          </w:p>
        </w:tc>
      </w:tr>
      <w:tr>
        <w:trPr>
          <w:cantSplit/>
        </w:trPr>
        <w:tc>
          <w:tcPr>
            <w:tcW w:type="dxa" w:w="1700"/>
            <w:vAlign w:val="center"/>
          </w:tcPr>
          <w:p>
            <w:pPr>
              <w:spacing w:after="40" w:line="252" w:lineRule="auto"/>
            </w:pPr>
            <w:r>
              <w:rPr>
                <w:rFonts w:ascii="Calibri" w:hAnsi="Calibri"/>
                <w:b w:val="0"/>
                <w:i w:val="0"/>
                <w:color w:val="163A63"/>
                <w:sz w:val="17"/>
              </w:rPr>
              <w:t>FMX design</w:t>
            </w:r>
          </w:p>
        </w:tc>
        <w:tc>
          <w:tcPr>
            <w:tcW w:type="dxa" w:w="3500"/>
            <w:vAlign w:val="center"/>
          </w:tcPr>
          <w:p>
            <w:pPr>
              <w:spacing w:after="40" w:line="252" w:lineRule="auto"/>
            </w:pPr>
            <w:r>
              <w:rPr>
                <w:rFonts w:ascii="Calibri" w:hAnsi="Calibri"/>
                <w:b w:val="0"/>
                <w:i w:val="0"/>
                <w:color w:val="163A63"/>
                <w:sz w:val="17"/>
              </w:rPr>
              <w:t>packages\design\DATLanguageManagerFMXDesign.dpk</w:t>
            </w:r>
          </w:p>
        </w:tc>
        <w:tc>
          <w:tcPr>
            <w:tcW w:type="dxa" w:w="4160"/>
            <w:vAlign w:val="center"/>
          </w:tcPr>
          <w:p>
            <w:pPr>
              <w:spacing w:after="40" w:line="252" w:lineRule="auto"/>
            </w:pPr>
            <w:r>
              <w:rPr>
                <w:rFonts w:ascii="Calibri" w:hAnsi="Calibri"/>
                <w:b w:val="0"/>
                <w:i w:val="0"/>
                <w:color w:val="163A63"/>
                <w:sz w:val="17"/>
              </w:rPr>
              <w:t>bin\packages\Win32\&lt;Config&gt;\DATLanguageManagerFMXDesign.bpl/.dcp</w:t>
            </w:r>
          </w:p>
        </w:tc>
      </w:tr>
    </w:tbl>
    <w:p/>
    <w:p>
      <w:r>
        <w:t>Runtime packages build for Win32 and Win64. The Delphi IDE loads the self-contained Win32 design package. Installation is an explicit developer action performed only through RAD Studio's Component &gt; Install Packages &gt; Add command. The Studio does not copy, register, or automatically install BPLs.</w:t>
      </w:r>
    </w:p>
    <w:p>
      <w:pPr>
        <w:pStyle w:val="Heading1"/>
      </w:pPr>
      <w:r>
        <w:t>3. Prerequisites and Test Data</w:t>
      </w:r>
    </w:p>
    <w:p>
      <w:pPr>
        <w:pStyle w:val="ListBullet"/>
      </w:pPr>
      <w:r>
        <w:t>Windows account able to run RAD Studio and an elevated PowerShell window for builds.</w:t>
      </w:r>
    </w:p>
    <w:p>
      <w:pPr>
        <w:pStyle w:val="ListBullet"/>
      </w:pPr>
      <w:r>
        <w:t>RAD Studio 13 Florence / toolchain 37.0 installed at the paths in Section 2.</w:t>
      </w:r>
    </w:p>
    <w:p>
      <w:pPr>
        <w:pStyle w:val="ListBullet"/>
      </w:pPr>
      <w:r>
        <w:t>Git installed at C:\Program Files\Git and available for status/diff verification.</w:t>
      </w:r>
    </w:p>
    <w:p>
      <w:pPr>
        <w:pStyle w:val="ListBullet"/>
      </w:pPr>
      <w:r>
        <w:t>A working Google Cloud Translation Basic v2 API key or DeepL API key for the live automatic-translation case.</w:t>
      </w:r>
    </w:p>
    <w:p>
      <w:pPr>
        <w:pStyle w:val="ListBullet"/>
      </w:pPr>
      <w:r>
        <w:t>Internet access for Provider Settings, Test Connection, and Translate Automatically only.</w:t>
      </w:r>
    </w:p>
    <w:p>
      <w:pPr>
        <w:pStyle w:val="ListBullet"/>
      </w:pPr>
      <w:r>
        <w:t>The pristine GA4 reference folder and enough free space for a disposable copy and four builds.</w:t>
      </w:r>
    </w:p>
    <w:p>
      <w:pPr>
        <w:pStyle w:val="ListBullet"/>
      </w:pPr>
      <w:r>
        <w:t>A second target language that can be visually distinguished from English. Spanish (Spain) [es-ES] or Italian (Italy) [it-IT] is suitable.</w:t>
      </w:r>
    </w:p>
    <w:tbl>
      <w:tblPr>
        <w:jc w:val="center"/>
        <w:tblLook w:firstColumn="1" w:firstRow="1" w:lastColumn="0" w:lastRow="0" w:noHBand="0" w:noVBand="1" w:val="04A0"/>
        <w:tblW w:w="9360" w:type="dxa"/>
        <w:tblInd w:w="120" w:type="dxa"/>
        <w:tblLayout w:type="fixed"/>
        <w:tblCellMar>
          <w:top w:w="80" w:type="dxa"/>
          <w:bottom w:w="80" w:type="dxa"/>
          <w:start w:w="120" w:type="dxa"/>
          <w:end w:w="120" w:type="dxa"/>
        </w:tblCellMar>
      </w:tblPr>
      <w:tblGrid>
        <w:gridCol w:w="9360"/>
      </w:tblGrid>
      <w:tr>
        <w:trPr>
          <w:cantSplit/>
          <w:tblHeader w:val="true"/>
        </w:trPr>
        <w:tc>
          <w:tcPr>
            <w:tcW w:type="dxa" w:w="9360"/>
            <w:shd w:fill="EAF3FF"/>
            <w:vAlign w:val="center"/>
          </w:tcPr>
          <w:p>
            <w:pPr>
              <w:pStyle w:val="Callout"/>
            </w:pPr>
            <w:r>
              <w:rPr>
                <w:b/>
                <w:color w:val="234C80"/>
              </w:rPr>
              <w:t xml:space="preserve">Credential safety. </w:t>
            </w:r>
            <w:r>
              <w:t>Never paste an API key into a source file, catalog, runtime pack, test report, screenshot, Git commit, or command line. Enter it only in the Studio's masked Provider Settings field. Remembered keys are stored as Windows Generic Credentials for the signed-in user.</w:t>
            </w:r>
          </w:p>
        </w:tc>
      </w:tr>
    </w:tbl>
    <w:p>
      <w:pPr>
        <w:pStyle w:val="Heading2"/>
      </w:pPr>
      <w:r>
        <w:t>3.1 Create the disposable GA4 test copy</w:t>
      </w:r>
    </w:p>
    <w:p>
      <w:pPr>
        <w:pStyle w:val="ListNumber"/>
        <w:numPr>
          <w:ilvl w:val="0"/>
          <w:numId w:val="10"/>
        </w:numPr>
      </w:pPr>
      <w:r>
        <w:t>Close FMXPilot.exe and close the GA4 project in RAD Studio.</w:t>
      </w:r>
    </w:p>
    <w:p>
      <w:pPr>
        <w:pStyle w:val="ListNumber"/>
        <w:numPr>
          <w:ilvl w:val="0"/>
          <w:numId w:val="10"/>
        </w:numPr>
      </w:pPr>
      <w:r>
        <w:t>Confirm C:\DelphiProjects\FMXPilot - Pristine is clean with: git -C "C:\DelphiProjects\FMXPilot - Pristine" status --short.</w:t>
      </w:r>
    </w:p>
    <w:p>
      <w:pPr>
        <w:pStyle w:val="ListNumber"/>
        <w:numPr>
          <w:ilvl w:val="0"/>
          <w:numId w:val="10"/>
        </w:numPr>
      </w:pPr>
      <w:r>
        <w:t>Copy the complete pristine folder to C:\DelphiProjects\FMXPilot - Component Test. Preserve its .git directory so Git can show every manual integration change.</w:t>
      </w:r>
    </w:p>
    <w:p>
      <w:pPr>
        <w:pStyle w:val="ListNumber"/>
        <w:numPr>
          <w:ilvl w:val="0"/>
          <w:numId w:val="10"/>
        </w:numPr>
      </w:pPr>
      <w:r>
        <w:t>Run git -C "C:\DelphiProjects\FMXPilot - Component Test" status --short. The result must be empty before the test begins.</w:t>
      </w:r>
    </w:p>
    <w:p>
      <w:pPr>
        <w:pStyle w:val="ListNumber"/>
        <w:numPr>
          <w:ilvl w:val="0"/>
          <w:numId w:val="10"/>
        </w:numPr>
      </w:pPr>
      <w:r>
        <w:t>Record the starting commit with: git -C "C:\DelphiProjects\FMXPilot - Component Test" rev-parse HEAD.</w:t>
      </w:r>
    </w:p>
    <w:tbl>
      <w:tblPr>
        <w:jc w:val="center"/>
        <w:tblLook w:firstColumn="1" w:firstRow="1" w:lastColumn="0" w:lastRow="0" w:noHBand="0" w:noVBand="1" w:val="04A0"/>
        <w:tblW w:w="9360" w:type="dxa"/>
        <w:tblInd w:w="120" w:type="dxa"/>
        <w:tblLayout w:type="fixed"/>
        <w:tblCellMar>
          <w:top w:w="80" w:type="dxa"/>
          <w:bottom w:w="80" w:type="dxa"/>
          <w:start w:w="120" w:type="dxa"/>
          <w:end w:w="120" w:type="dxa"/>
        </w:tblCellMar>
      </w:tblPr>
      <w:tblGrid>
        <w:gridCol w:w="9360"/>
      </w:tblGrid>
      <w:tr>
        <w:trPr>
          <w:cantSplit/>
          <w:tblHeader w:val="true"/>
        </w:trPr>
        <w:tc>
          <w:tcPr>
            <w:tcW w:type="dxa" w:w="9360"/>
            <w:shd w:fill="EAF3FF"/>
            <w:vAlign w:val="center"/>
          </w:tcPr>
          <w:p>
            <w:pPr>
              <w:pStyle w:val="Callout"/>
            </w:pPr>
            <w:r>
              <w:rPr>
                <w:b/>
                <w:color w:val="234C80"/>
              </w:rPr>
              <w:t xml:space="preserve">Existing older test folder. </w:t>
            </w:r>
            <w:r>
              <w:t>C:\DelphiProjects\FMXPilot - Test already contains earlier automatic-source-integration changes and Localization files. Do not use it as the clean component-first acceptance target.</w:t>
            </w:r>
          </w:p>
        </w:tc>
      </w:tr>
    </w:tbl>
    <w:p>
      <w:pPr>
        <w:pStyle w:val="Heading2"/>
      </w:pPr>
      <w:r>
        <w:t>3.2 Establish a clean Delphi package baseline</w:t>
      </w:r>
    </w:p>
    <w:p>
      <w:pPr>
        <w:pStyle w:val="ListNumber"/>
        <w:numPr>
          <w:ilvl w:val="0"/>
          <w:numId w:val="11"/>
        </w:numPr>
      </w:pPr>
      <w:r>
        <w:t>Start RAD Studio without opening the disposable target project or any target form.</w:t>
      </w:r>
    </w:p>
    <w:p>
      <w:pPr>
        <w:pStyle w:val="ListNumber"/>
        <w:numPr>
          <w:ilvl w:val="0"/>
          <w:numId w:val="11"/>
        </w:numPr>
      </w:pPr>
      <w:r>
        <w:t>Choose Component &gt; Install Packages.</w:t>
      </w:r>
    </w:p>
    <w:p>
      <w:pPr>
        <w:pStyle w:val="ListNumber"/>
        <w:numPr>
          <w:ilvl w:val="0"/>
          <w:numId w:val="11"/>
        </w:numPr>
      </w:pPr>
      <w:r>
        <w:t>If DAT Language Manager FireMonkey design-time package is listed, select it, choose Remove, confirm the removal, and choose OK. If it is not listed, choose Cancel and continue.</w:t>
      </w:r>
    </w:p>
    <w:p>
      <w:pPr>
        <w:pStyle w:val="ListNumber"/>
        <w:numPr>
          <w:ilvl w:val="0"/>
          <w:numId w:val="11"/>
        </w:numPr>
      </w:pPr>
      <w:r>
        <w:t>Close and restart RAD Studio. Confirm that no package-load error appears. Do not manually delete BPLs and do not edit the BDS registry.</w:t>
      </w:r>
    </w:p>
    <w:p>
      <w:pPr>
        <w:pStyle w:val="ListNumber"/>
        <w:numPr>
          <w:ilvl w:val="0"/>
          <w:numId w:val="11"/>
        </w:numPr>
      </w:pPr>
      <w:r>
        <w:t>Keep target files saved and leave the target application closed until TC-10 installs the freshly generated design package. The RAD Studio project may remain open.</w:t>
      </w:r>
    </w:p>
    <w:tbl>
      <w:tblPr>
        <w:jc w:val="center"/>
        <w:tblLook w:firstColumn="1" w:firstRow="1" w:lastColumn="0" w:lastRow="0" w:noHBand="0" w:noVBand="1" w:val="04A0"/>
        <w:tblW w:w="9360" w:type="dxa"/>
        <w:tblInd w:w="120" w:type="dxa"/>
        <w:tblLayout w:type="fixed"/>
        <w:tblCellMar>
          <w:top w:w="80" w:type="dxa"/>
          <w:bottom w:w="80" w:type="dxa"/>
          <w:start w:w="120" w:type="dxa"/>
          <w:end w:w="120" w:type="dxa"/>
        </w:tblCellMar>
      </w:tblPr>
      <w:tblGrid>
        <w:gridCol w:w="9360"/>
      </w:tblGrid>
      <w:tr>
        <w:trPr>
          <w:cantSplit/>
          <w:tblHeader w:val="true"/>
        </w:trPr>
        <w:tc>
          <w:tcPr>
            <w:tcW w:type="dxa" w:w="9360"/>
            <w:shd w:fill="EAF3FF"/>
            <w:vAlign w:val="center"/>
          </w:tcPr>
          <w:p>
            <w:pPr>
              <w:pStyle w:val="Callout"/>
            </w:pPr>
            <w:r>
              <w:rPr>
                <w:b/>
                <w:color w:val="234C80"/>
              </w:rPr>
              <w:t xml:space="preserve">Use Delphi's package manager only. </w:t>
            </w:r>
            <w:r>
              <w:t>Never use Component &gt; Install Component for this product, never select a .dpk, and never copy package files into Delphi system folders. The accepted workflow uses the compiled Win32 design .bpl through Component &gt; Install Packages &gt; Add.</w:t>
            </w:r>
          </w:p>
        </w:tc>
      </w:tr>
    </w:tbl>
    <w:p>
      <w:pPr>
        <w:pStyle w:val="Heading1"/>
      </w:pPr>
      <w:r>
        <w:t>4. Build the Studio Manually</w:t>
      </w:r>
    </w:p>
    <w:p>
      <w:r>
        <w:t>Run builds from an elevated PowerShell or Developer Command Prompt. The project file sends executables to bin\&lt;Platform&gt;\&lt;Configuration&gt; and DCUs to dcu\&lt;Platform&gt;\&lt;Configuration&gt;.</w:t>
      </w:r>
    </w:p>
    <w:p>
      <w:pPr>
        <w:pStyle w:val="Heading2"/>
      </w:pPr>
      <w:r>
        <w:t>4.1 RAD Studio method</w:t>
      </w:r>
    </w:p>
    <w:p>
      <w:pPr>
        <w:pStyle w:val="ListNumber"/>
        <w:numPr>
          <w:ilvl w:val="0"/>
          <w:numId w:val="12"/>
        </w:numPr>
      </w:pPr>
      <w:r>
        <w:t>Open C:\DelphiProjects\Delphi App Translation\DelphiAppTranslationStudio.dproj.</w:t>
      </w:r>
    </w:p>
    <w:p>
      <w:pPr>
        <w:pStyle w:val="ListNumber"/>
        <w:numPr>
          <w:ilvl w:val="0"/>
          <w:numId w:val="12"/>
        </w:numPr>
      </w:pPr>
      <w:r>
        <w:t>Select Win32 / Debug and choose Project &gt; Build DelphiAppTranslationStudio.</w:t>
      </w:r>
    </w:p>
    <w:p>
      <w:pPr>
        <w:pStyle w:val="ListNumber"/>
        <w:numPr>
          <w:ilvl w:val="0"/>
          <w:numId w:val="12"/>
        </w:numPr>
      </w:pPr>
      <w:r>
        <w:t>Repeat for Win64 / Debug, Win32 / Release, and Win64 / Release.</w:t>
      </w:r>
    </w:p>
    <w:p>
      <w:pPr>
        <w:pStyle w:val="ListNumber"/>
        <w:numPr>
          <w:ilvl w:val="0"/>
          <w:numId w:val="12"/>
        </w:numPr>
      </w:pPr>
      <w:r>
        <w:t>Confirm the four exact executables listed in Section 2.1 have current timestamps and nonzero sizes.</w:t>
      </w:r>
    </w:p>
    <w:p>
      <w:pPr>
        <w:pStyle w:val="ListNumber"/>
        <w:numPr>
          <w:ilvl w:val="0"/>
          <w:numId w:val="12"/>
        </w:numPr>
      </w:pPr>
      <w:r>
        <w:t>Return the active platform to Win32 after the matrix unless another immediate test requires Win64.</w:t>
      </w:r>
    </w:p>
    <w:p>
      <w:pPr>
        <w:pStyle w:val="Heading2"/>
      </w:pPr>
      <w:r>
        <w:t>4.2 Command-line method</w:t>
      </w:r>
    </w:p>
    <w:p>
      <w:pPr>
        <w:pStyle w:val="CodeBlock"/>
      </w:pPr>
      <w:r>
        <w:t>cd "C:\DelphiProjects\Delphi App Translation"</w:t>
      </w:r>
    </w:p>
    <w:p>
      <w:pPr>
        <w:pStyle w:val="CodeBlock"/>
      </w:pPr>
      <w:r>
        <w:t>cmd /d /c "call ""C:\Program Files (x86)\Embarcadero\Studio\37.0\bin\rsvars.bat"" &amp;&amp; msbuild DelphiAppTranslationStudio.dproj /t:Build /p:Config=Debug /p:Platform=Win32 /v:minimal"</w:t>
      </w:r>
    </w:p>
    <w:p>
      <w:pPr>
        <w:pStyle w:val="CodeBlock"/>
      </w:pPr>
      <w:r>
        <w:t>cmd /d /c "call ""C:\Program Files (x86)\Embarcadero\Studio\37.0\bin\rsvars.bat"" &amp;&amp; msbuild DelphiAppTranslationStudio.dproj /t:Build /p:Config=Debug /p:Platform=Win64 /v:minimal"</w:t>
      </w:r>
    </w:p>
    <w:p>
      <w:pPr>
        <w:pStyle w:val="CodeBlock"/>
      </w:pPr>
      <w:r>
        <w:t>cmd /d /c "call ""C:\Program Files (x86)\Embarcadero\Studio\37.0\bin\rsvars.bat"" &amp;&amp; msbuild DelphiAppTranslationStudio.dproj /t:Build /p:Config=Release /p:Platform=Win32 /v:minimal"</w:t>
      </w:r>
    </w:p>
    <w:p>
      <w:pPr>
        <w:pStyle w:val="CodeBlock"/>
      </w:pPr>
      <w:r>
        <w:t>cmd /d /c "call ""C:\Program Files (x86)\Embarcadero\Studio\37.0\bin\rsvars.bat"" &amp;&amp; msbuild DelphiAppTranslationStudio.dproj /t:Build /p:Config=Release /p:Platform=Win64 /v:minimal"</w:t>
      </w:r>
    </w:p>
    <w:p>
      <w:pPr>
        <w:pStyle w:val="Heading1"/>
      </w:pPr>
      <w:r>
        <w:t>5. Automated Release Gate</w:t>
      </w:r>
    </w:p>
    <w:p>
      <w:r>
        <w:t>Run this before manual acceptance. It performs one uninterrupted Debug/Release and Win32/Win64 matrix. It builds core, VCL, FMX, runtime, design, Studio, streaming, lifecycle, selector, launch, self-localization, foundation, runtime, integration, and non-mutation tests.</w:t>
      </w:r>
    </w:p>
    <w:p>
      <w:pPr>
        <w:pStyle w:val="CodeBlock"/>
      </w:pPr>
      <w:r>
        <w:t>cd "C:\DelphiProjects\Delphi App Translation"</w:t>
      </w:r>
    </w:p>
    <w:p>
      <w:pPr>
        <w:pStyle w:val="CodeBlock"/>
      </w:pPr>
      <w:r>
        <w:t>powershell.exe -ExecutionPolicy Bypass -File .\tools\tests\RunPhase10ReleaseValidation.ps1</w:t>
      </w:r>
    </w:p>
    <w:p>
      <w:pPr>
        <w:pStyle w:val="ListBullet"/>
      </w:pPr>
      <w:r>
        <w:t>Expected final line: Phase 10 complete release validation passed.</w:t>
      </w:r>
    </w:p>
    <w:p>
      <w:pPr>
        <w:pStyle w:val="ListBullet"/>
      </w:pPr>
      <w:r>
        <w:t>Expected behavior: test processes may open briefly and close automatically.</w:t>
      </w:r>
    </w:p>
    <w:p>
      <w:pPr>
        <w:pStyle w:val="ListBullet"/>
      </w:pPr>
      <w:r>
        <w:t>The script restores the Studio's self-localization pack and preference after its Italian launch checks.</w:t>
      </w:r>
    </w:p>
    <w:p>
      <w:pPr>
        <w:pStyle w:val="ListBullet"/>
      </w:pPr>
      <w:r>
        <w:t>Any nonzero exit or exception is a failed release gate. Do not continue to sign-off until repaired and rerun from the beginning.</w:t>
      </w:r>
    </w:p>
    <w:p>
      <w:pPr>
        <w:pStyle w:val="Heading2"/>
      </w:pPr>
      <w:r>
        <w:t>5.1 What the gate proves</w:t>
      </w:r>
    </w:p>
    <w:tbl>
      <w:tblPr>
        <w:tblStyle w:val="TableGrid"/>
        <w:jc w:val="center"/>
        <w:tblLook w:firstColumn="1" w:firstRow="1" w:lastColumn="0" w:lastRow="0" w:noHBand="0" w:noVBand="1" w:val="04A0"/>
        <w:tblW w:w="9360" w:type="dxa"/>
        <w:tblInd w:w="120" w:type="dxa"/>
        <w:tblLayout w:type="fixed"/>
        <w:tblCellMar>
          <w:top w:w="80" w:type="dxa"/>
          <w:bottom w:w="80" w:type="dxa"/>
          <w:start w:w="120" w:type="dxa"/>
          <w:end w:w="120" w:type="dxa"/>
        </w:tblCellMar>
      </w:tblPr>
      <w:tblGrid>
        <w:gridCol w:w="2200"/>
        <w:gridCol w:w="7160"/>
      </w:tblGrid>
      <w:tr>
        <w:trPr>
          <w:tblHeader w:val="true"/>
        </w:trPr>
        <w:tc>
          <w:tcPr>
            <w:tcW w:type="dxa" w:w="2200"/>
            <w:shd w:fill="234C80"/>
            <w:vAlign w:val="center"/>
          </w:tcPr>
          <w:p>
            <w:r>
              <w:rPr>
                <w:rFonts w:ascii="Calibri" w:hAnsi="Calibri"/>
                <w:b/>
                <w:i w:val="0"/>
                <w:color w:val="FFFFFF"/>
                <w:sz w:val="18"/>
              </w:rPr>
              <w:t>Area</w:t>
            </w:r>
          </w:p>
        </w:tc>
        <w:tc>
          <w:tcPr>
            <w:tcW w:type="dxa" w:w="7160"/>
            <w:shd w:fill="234C80"/>
            <w:vAlign w:val="center"/>
          </w:tcPr>
          <w:p>
            <w:r>
              <w:rPr>
                <w:rFonts w:ascii="Calibri" w:hAnsi="Calibri"/>
                <w:b/>
                <w:i w:val="0"/>
                <w:color w:val="FFFFFF"/>
                <w:sz w:val="18"/>
              </w:rPr>
              <w:t>Evidence</w:t>
            </w:r>
          </w:p>
        </w:tc>
      </w:tr>
      <w:tr>
        <w:trPr>
          <w:cantSplit/>
        </w:trPr>
        <w:tc>
          <w:tcPr>
            <w:tcW w:type="dxa" w:w="2200"/>
            <w:vAlign w:val="center"/>
          </w:tcPr>
          <w:p>
            <w:pPr>
              <w:spacing w:after="40" w:line="252" w:lineRule="auto"/>
            </w:pPr>
            <w:r>
              <w:rPr>
                <w:rFonts w:ascii="Calibri" w:hAnsi="Calibri"/>
                <w:b w:val="0"/>
                <w:i w:val="0"/>
                <w:color w:val="163A63"/>
                <w:sz w:val="18"/>
              </w:rPr>
              <w:t>Package graph</w:t>
            </w:r>
          </w:p>
        </w:tc>
        <w:tc>
          <w:tcPr>
            <w:tcW w:type="dxa" w:w="7160"/>
            <w:vAlign w:val="center"/>
          </w:tcPr>
          <w:p>
            <w:pPr>
              <w:spacing w:after="40" w:line="252" w:lineRule="auto"/>
            </w:pPr>
            <w:r>
              <w:rPr>
                <w:rFonts w:ascii="Calibri" w:hAnsi="Calibri"/>
                <w:b w:val="0"/>
                <w:i w:val="0"/>
                <w:color w:val="163A63"/>
                <w:sz w:val="18"/>
              </w:rPr>
              <w:t>Debug and Release runtime packages for Win32/Win64; Win32 VCL/FMX design packages; DFM/FMX streaming.</w:t>
            </w:r>
          </w:p>
        </w:tc>
      </w:tr>
      <w:tr>
        <w:trPr>
          <w:cantSplit/>
        </w:trPr>
        <w:tc>
          <w:tcPr>
            <w:tcW w:type="dxa" w:w="2200"/>
            <w:vAlign w:val="center"/>
            <w:shd w:fill="F6F9FC"/>
          </w:tcPr>
          <w:p>
            <w:pPr>
              <w:spacing w:after="40" w:line="252" w:lineRule="auto"/>
            </w:pPr>
            <w:r>
              <w:rPr>
                <w:rFonts w:ascii="Calibri" w:hAnsi="Calibri"/>
                <w:b w:val="0"/>
                <w:i w:val="0"/>
                <w:color w:val="163A63"/>
                <w:sz w:val="18"/>
              </w:rPr>
              <w:t>Managers</w:t>
            </w:r>
          </w:p>
        </w:tc>
        <w:tc>
          <w:tcPr>
            <w:tcW w:type="dxa" w:w="7160"/>
            <w:vAlign w:val="center"/>
            <w:shd w:fill="F6F9FC"/>
          </w:tcPr>
          <w:p>
            <w:pPr>
              <w:spacing w:after="40" w:line="252" w:lineRule="auto"/>
            </w:pPr>
            <w:r>
              <w:rPr>
                <w:rFonts w:ascii="Calibri" w:hAnsi="Calibri"/>
                <w:b w:val="0"/>
                <w:i w:val="0"/>
                <w:color w:val="163A63"/>
                <w:sz w:val="18"/>
              </w:rPr>
              <w:t>Initialization, lifecycle discovery, stable form identity, switching generations, state preservation, cleanup, and architecture parity.</w:t>
            </w:r>
          </w:p>
        </w:tc>
      </w:tr>
      <w:tr>
        <w:trPr>
          <w:cantSplit/>
        </w:trPr>
        <w:tc>
          <w:tcPr>
            <w:tcW w:type="dxa" w:w="2200"/>
            <w:vAlign w:val="center"/>
          </w:tcPr>
          <w:p>
            <w:pPr>
              <w:spacing w:after="40" w:line="252" w:lineRule="auto"/>
            </w:pPr>
            <w:r>
              <w:rPr>
                <w:rFonts w:ascii="Calibri" w:hAnsi="Calibri"/>
                <w:b w:val="0"/>
                <w:i w:val="0"/>
                <w:color w:val="163A63"/>
                <w:sz w:val="18"/>
              </w:rPr>
              <w:t>Studio</w:t>
            </w:r>
          </w:p>
        </w:tc>
        <w:tc>
          <w:tcPr>
            <w:tcW w:type="dxa" w:w="7160"/>
            <w:vAlign w:val="center"/>
          </w:tcPr>
          <w:p>
            <w:pPr>
              <w:spacing w:after="40" w:line="252" w:lineRule="auto"/>
            </w:pPr>
            <w:r>
              <w:rPr>
                <w:rFonts w:ascii="Calibri" w:hAnsi="Calibri"/>
                <w:b w:val="0"/>
                <w:i w:val="0"/>
                <w:color w:val="163A63"/>
                <w:sz w:val="18"/>
              </w:rPr>
              <w:t>Four builds, direct FMX form streaming, ordinary launch, maximized layout contracts, and Italian self-localization.</w:t>
            </w:r>
          </w:p>
        </w:tc>
      </w:tr>
      <w:tr>
        <w:trPr>
          <w:cantSplit/>
        </w:trPr>
        <w:tc>
          <w:tcPr>
            <w:tcW w:type="dxa" w:w="2200"/>
            <w:vAlign w:val="center"/>
            <w:shd w:fill="F6F9FC"/>
          </w:tcPr>
          <w:p>
            <w:pPr>
              <w:spacing w:after="40" w:line="252" w:lineRule="auto"/>
            </w:pPr>
            <w:r>
              <w:rPr>
                <w:rFonts w:ascii="Calibri" w:hAnsi="Calibri"/>
                <w:b w:val="0"/>
                <w:i w:val="0"/>
                <w:color w:val="163A63"/>
                <w:sz w:val="18"/>
              </w:rPr>
              <w:t>Translation core</w:t>
            </w:r>
          </w:p>
        </w:tc>
        <w:tc>
          <w:tcPr>
            <w:tcW w:type="dxa" w:w="7160"/>
            <w:vAlign w:val="center"/>
            <w:shd w:fill="F6F9FC"/>
          </w:tcPr>
          <w:p>
            <w:pPr>
              <w:spacing w:after="40" w:line="252" w:lineRule="auto"/>
            </w:pPr>
            <w:r>
              <w:rPr>
                <w:rFonts w:ascii="Calibri" w:hAnsi="Calibri"/>
                <w:b w:val="0"/>
                <w:i w:val="0"/>
                <w:color w:val="163A63"/>
                <w:sz w:val="18"/>
              </w:rPr>
              <w:t>Detection, scanning, schema/provenance, catalog merge, provider contracts, validation, pack generation, and preference handling.</w:t>
            </w:r>
          </w:p>
        </w:tc>
      </w:tr>
      <w:tr>
        <w:trPr>
          <w:cantSplit/>
        </w:trPr>
        <w:tc>
          <w:tcPr>
            <w:tcW w:type="dxa" w:w="2200"/>
            <w:vAlign w:val="center"/>
          </w:tcPr>
          <w:p>
            <w:pPr>
              <w:spacing w:after="40" w:line="252" w:lineRule="auto"/>
            </w:pPr>
            <w:r>
              <w:rPr>
                <w:rFonts w:ascii="Calibri" w:hAnsi="Calibri"/>
                <w:b w:val="0"/>
                <w:i w:val="0"/>
                <w:color w:val="163A63"/>
                <w:sz w:val="18"/>
              </w:rPr>
              <w:t>Safety</w:t>
            </w:r>
          </w:p>
        </w:tc>
        <w:tc>
          <w:tcPr>
            <w:tcW w:type="dxa" w:w="7160"/>
            <w:vAlign w:val="center"/>
          </w:tcPr>
          <w:p>
            <w:pPr>
              <w:spacing w:after="40" w:line="252" w:lineRule="auto"/>
            </w:pPr>
            <w:r>
              <w:rPr>
                <w:rFonts w:ascii="Calibri" w:hAnsi="Calibri"/>
                <w:b w:val="0"/>
                <w:i w:val="0"/>
                <w:color w:val="163A63"/>
                <w:sz w:val="18"/>
              </w:rPr>
              <w:t>Component-kit generation writes only below the export root and preserves target project/form SHA-256 hashes.</w:t>
            </w:r>
          </w:p>
        </w:tc>
      </w:tr>
      <w:tr>
        <w:trPr>
          <w:cantSplit/>
        </w:trPr>
        <w:tc>
          <w:tcPr>
            <w:tcW w:type="dxa" w:w="2200"/>
            <w:vAlign w:val="center"/>
            <w:shd w:fill="F6F9FC"/>
          </w:tcPr>
          <w:p>
            <w:pPr>
              <w:spacing w:after="40" w:line="252" w:lineRule="auto"/>
            </w:pPr>
            <w:r>
              <w:rPr>
                <w:rFonts w:ascii="Calibri" w:hAnsi="Calibri"/>
                <w:b w:val="0"/>
                <w:i w:val="0"/>
                <w:color w:val="163A63"/>
                <w:sz w:val="18"/>
              </w:rPr>
              <w:t>Project-file safety</w:t>
            </w:r>
          </w:p>
        </w:tc>
        <w:tc>
          <w:tcPr>
            <w:tcW w:type="dxa" w:w="7160"/>
            <w:vAlign w:val="center"/>
            <w:shd w:fill="F6F9FC"/>
          </w:tcPr>
          <w:p>
            <w:pPr>
              <w:spacing w:after="40" w:line="252" w:lineRule="auto"/>
            </w:pPr>
            <w:r>
              <w:rPr>
                <w:rFonts w:ascii="Calibri" w:hAnsi="Calibri"/>
                <w:b w:val="0"/>
                <w:i w:val="0"/>
                <w:color w:val="163A63"/>
                <w:sz w:val="18"/>
              </w:rPr>
              <w:t>Dependency preparation, repeated-run idempotence, temporary build Search Path, direct deployment, and byte-for-byte target-file preservation.</w:t>
            </w:r>
          </w:p>
        </w:tc>
      </w:tr>
    </w:tbl>
    <w:p/>
    <w:p>
      <w:r>
        <w:br w:type="page"/>
      </w:r>
    </w:p>
    <w:p>
      <w:pPr>
        <w:pStyle w:val="Heading1"/>
      </w:pPr>
      <w:r>
        <w:t>6. Manual Studio Acceptance</w:t>
      </w:r>
    </w:p>
    <w:p>
      <w:pPr>
        <w:pStyle w:val="Heading2"/>
      </w:pPr>
      <w:r>
        <w:t>TC-01 Launch and navigation</w:t>
      </w:r>
    </w:p>
    <w:tbl>
      <w:tblPr>
        <w:jc w:val="center"/>
        <w:tblLook w:firstColumn="1" w:firstRow="1" w:lastColumn="0" w:lastRow="0" w:noHBand="0" w:noVBand="1" w:val="04A0"/>
        <w:tblW w:w="9360" w:type="dxa"/>
        <w:tblInd w:w="120" w:type="dxa"/>
        <w:tblLayout w:type="fixed"/>
        <w:tblCellMar>
          <w:top w:w="80" w:type="dxa"/>
          <w:bottom w:w="80" w:type="dxa"/>
          <w:start w:w="120" w:type="dxa"/>
          <w:end w:w="120" w:type="dxa"/>
        </w:tblCellMar>
      </w:tblPr>
      <w:tblGrid>
        <w:gridCol w:w="9360"/>
      </w:tblGrid>
      <w:tr>
        <w:trPr>
          <w:cantSplit/>
          <w:tblHeader w:val="true"/>
        </w:trPr>
        <w:tc>
          <w:tcPr>
            <w:tcW w:type="dxa" w:w="9360"/>
            <w:shd w:fill="EAF3FF"/>
            <w:vAlign w:val="center"/>
          </w:tcPr>
          <w:p>
            <w:pPr>
              <w:pStyle w:val="Callout"/>
            </w:pPr>
            <w:r>
              <w:rPr>
                <w:b/>
                <w:color w:val="234C80"/>
              </w:rPr>
              <w:t xml:space="preserve">Objective. </w:t>
            </w:r>
            <w:r>
              <w:t>Verify the designer-authored Studio shell opens maximized and every workflow page is reachable.</w:t>
            </w:r>
          </w:p>
        </w:tc>
      </w:tr>
    </w:tbl>
    <w:p>
      <w:pPr>
        <w:pStyle w:val="Heading3"/>
      </w:pPr>
      <w:r>
        <w:t>Procedure</w:t>
      </w:r>
    </w:p>
    <w:p>
      <w:pPr>
        <w:pStyle w:val="ListNumber"/>
        <w:numPr>
          <w:ilvl w:val="0"/>
          <w:numId w:val="13"/>
        </w:numPr>
      </w:pPr>
      <w:r>
        <w:t>Run C:\DelphiProjects\Delphi App Translation\bin\Win32\Debug\DelphiAppTranslationStudio.exe.</w:t>
      </w:r>
    </w:p>
    <w:p>
      <w:pPr>
        <w:pStyle w:val="ListNumber"/>
        <w:numPr>
          <w:ilvl w:val="0"/>
          <w:numId w:val="13"/>
        </w:numPr>
      </w:pPr>
      <w:r>
        <w:t>Confirm there is no startup error dialog and the title is Delphi App Translation Studio.</w:t>
      </w:r>
    </w:p>
    <w:p>
      <w:pPr>
        <w:pStyle w:val="ListNumber"/>
        <w:numPr>
          <w:ilvl w:val="0"/>
          <w:numId w:val="13"/>
        </w:numPr>
      </w:pPr>
      <w:r>
        <w:t>Select Project, Scan, Translate, Validation, Export, Integration, and Provider Settings in order.</w:t>
      </w:r>
    </w:p>
    <w:p>
      <w:pPr>
        <w:pStyle w:val="ListNumber"/>
        <w:numPr>
          <w:ilvl w:val="0"/>
          <w:numId w:val="13"/>
        </w:numPr>
      </w:pPr>
      <w:r>
        <w:t>Read the bottom status card after every selection.</w:t>
      </w:r>
    </w:p>
    <w:p>
      <w:pPr>
        <w:pStyle w:val="ListNumber"/>
        <w:numPr>
          <w:ilvl w:val="0"/>
          <w:numId w:val="13"/>
        </w:numPr>
      </w:pPr>
      <w:r>
        <w:t>Resize the maximized window and inspect the top, bottom, left, and right edges of each page.</w:t>
      </w:r>
    </w:p>
    <w:p>
      <w:pPr>
        <w:pStyle w:val="Heading3"/>
      </w:pPr>
      <w:r>
        <w:t>Expected result</w:t>
      </w:r>
    </w:p>
    <w:p>
      <w:pPr>
        <w:pStyle w:val="ListBullet"/>
      </w:pPr>
      <w:r>
        <w:t>The window starts maximized.</w:t>
      </w:r>
    </w:p>
    <w:p>
      <w:pPr>
        <w:pStyle w:val="ListBullet"/>
      </w:pPr>
      <w:r>
        <w:t>The blue workflow selection follows the active page.</w:t>
      </w:r>
    </w:p>
    <w:p>
      <w:pPr>
        <w:pStyle w:val="ListBullet"/>
      </w:pPr>
      <w:r>
        <w:t>The bottom status card changes to page-specific guidance and never retains a message from the previous page.</w:t>
      </w:r>
    </w:p>
    <w:p>
      <w:pPr>
        <w:pStyle w:val="ListBullet"/>
      </w:pPr>
      <w:r>
        <w:t>Every control remains visible, aligned, and usable; nothing bleeds below or beyond the client area.</w:t>
      </w:r>
    </w:p>
    <w:p>
      <w:pPr>
        <w:pStyle w:val="ListBullet"/>
      </w:pPr>
      <w:r>
        <w:t>Component Integration (Recommended) is the default Integration method.</w:t>
      </w:r>
    </w:p>
    <w:p>
      <w:pPr>
        <w:pStyle w:val="ListBullet"/>
      </w:pPr>
      <w:r>
        <w:t>Provider Settings contains only DeepL and Google Cloud Translation, with no CLI-agent controls.</w:t>
      </w:r>
    </w:p>
    <w:tbl>
      <w:tblPr>
        <w:tblStyle w:val="TableGrid"/>
        <w:jc w:val="center"/>
        <w:tblLook w:firstColumn="1" w:firstRow="1" w:lastColumn="0" w:lastRow="0" w:noHBand="0" w:noVBand="1" w:val="04A0"/>
        <w:tblW w:w="9360" w:type="dxa"/>
        <w:tblInd w:w="120" w:type="dxa"/>
        <w:tblLayout w:type="fixed"/>
        <w:tblCellMar>
          <w:top w:w="80" w:type="dxa"/>
          <w:bottom w:w="80" w:type="dxa"/>
          <w:start w:w="120" w:type="dxa"/>
          <w:end w:w="120" w:type="dxa"/>
        </w:tblCellMar>
      </w:tblPr>
      <w:tblGrid>
        <w:gridCol w:w="1200"/>
        <w:gridCol w:w="2400"/>
        <w:gridCol w:w="1500"/>
        <w:gridCol w:w="4260"/>
      </w:tblGrid>
      <w:tr>
        <w:trPr>
          <w:tblHeader w:val="true"/>
        </w:trPr>
        <w:tc>
          <w:tcPr>
            <w:tcW w:type="dxa" w:w="1200"/>
            <w:shd w:fill="EAF3FF"/>
          </w:tcPr>
          <w:p>
            <w:r>
              <w:rPr>
                <w:rFonts w:ascii="Calibri" w:hAnsi="Calibri"/>
                <w:b/>
                <w:i w:val="0"/>
                <w:color w:val="234C80"/>
                <w:sz w:val="17"/>
              </w:rPr>
              <w:t>Result</w:t>
            </w:r>
          </w:p>
        </w:tc>
        <w:tc>
          <w:tcPr>
            <w:tcW w:type="dxa" w:w="2400"/>
          </w:tcPr>
          <w:p>
            <w:r>
              <w:rPr>
                <w:rFonts w:ascii="Calibri" w:hAnsi="Calibri"/>
                <w:b w:val="0"/>
                <w:i w:val="0"/>
                <w:color w:val="163A63"/>
                <w:sz w:val="17"/>
              </w:rPr>
              <w:t>PASS / FAIL / N/A</w:t>
            </w:r>
          </w:p>
        </w:tc>
        <w:tc>
          <w:tcPr>
            <w:tcW w:type="dxa" w:w="1500"/>
            <w:shd w:fill="EAF3FF"/>
          </w:tcPr>
          <w:p>
            <w:r>
              <w:rPr>
                <w:rFonts w:ascii="Calibri" w:hAnsi="Calibri"/>
                <w:b/>
                <w:i w:val="0"/>
                <w:color w:val="234C80"/>
                <w:sz w:val="17"/>
              </w:rPr>
              <w:t>Tester</w:t>
            </w:r>
          </w:p>
        </w:tc>
        <w:tc>
          <w:tcPr>
            <w:tcW w:type="dxa" w:w="4260"/>
          </w:tcPr>
          <w:p>
            <w:r>
              <w:rPr>
                <w:rFonts w:ascii="Calibri" w:hAnsi="Calibri"/>
                <w:b w:val="0"/>
                <w:i w:val="0"/>
                <w:color w:val="163A63"/>
                <w:sz w:val="17"/>
              </w:rPr>
            </w:r>
          </w:p>
        </w:tc>
      </w:tr>
      <w:tr>
        <w:tc>
          <w:tcPr>
            <w:tcW w:type="dxa" w:w="1200"/>
            <w:shd w:fill="EAF3FF"/>
          </w:tcPr>
          <w:p>
            <w:r>
              <w:rPr>
                <w:rFonts w:ascii="Calibri" w:hAnsi="Calibri"/>
                <w:b/>
                <w:i w:val="0"/>
                <w:color w:val="234C80"/>
                <w:sz w:val="17"/>
              </w:rPr>
              <w:t>Date</w:t>
            </w:r>
          </w:p>
        </w:tc>
        <w:tc>
          <w:tcPr>
            <w:tcW w:type="dxa" w:w="2400"/>
          </w:tcPr>
          <w:p>
            <w:r>
              <w:rPr>
                <w:rFonts w:ascii="Calibri" w:hAnsi="Calibri"/>
                <w:b w:val="0"/>
                <w:i w:val="0"/>
                <w:color w:val="163A63"/>
                <w:sz w:val="17"/>
              </w:rPr>
            </w:r>
          </w:p>
        </w:tc>
        <w:tc>
          <w:tcPr>
            <w:tcW w:type="dxa" w:w="1500"/>
            <w:shd w:fill="EAF3FF"/>
          </w:tcPr>
          <w:p>
            <w:r>
              <w:rPr>
                <w:rFonts w:ascii="Calibri" w:hAnsi="Calibri"/>
                <w:b/>
                <w:i w:val="0"/>
                <w:color w:val="234C80"/>
                <w:sz w:val="17"/>
              </w:rPr>
              <w:t>Defect / notes</w:t>
            </w:r>
          </w:p>
        </w:tc>
        <w:tc>
          <w:tcPr>
            <w:tcW w:type="dxa" w:w="4260"/>
          </w:tcPr>
          <w:p>
            <w:r>
              <w:rPr>
                <w:rFonts w:ascii="Calibri" w:hAnsi="Calibri"/>
                <w:b w:val="0"/>
                <w:i w:val="0"/>
                <w:color w:val="163A63"/>
                <w:sz w:val="17"/>
              </w:rPr>
            </w:r>
          </w:p>
        </w:tc>
      </w:tr>
    </w:tbl>
    <w:p/>
    <w:p>
      <w:pPr>
        <w:pStyle w:val="Heading2"/>
      </w:pPr>
      <w:r>
        <w:t>TC-02 Open the disposable GA4 project</w:t>
      </w:r>
    </w:p>
    <w:tbl>
      <w:tblPr>
        <w:jc w:val="center"/>
        <w:tblLook w:firstColumn="1" w:firstRow="1" w:lastColumn="0" w:lastRow="0" w:noHBand="0" w:noVBand="1" w:val="04A0"/>
        <w:tblW w:w="9360" w:type="dxa"/>
        <w:tblInd w:w="120" w:type="dxa"/>
        <w:tblLayout w:type="fixed"/>
        <w:tblCellMar>
          <w:top w:w="80" w:type="dxa"/>
          <w:bottom w:w="80" w:type="dxa"/>
          <w:start w:w="120" w:type="dxa"/>
          <w:end w:w="120" w:type="dxa"/>
        </w:tblCellMar>
      </w:tblPr>
      <w:tblGrid>
        <w:gridCol w:w="9360"/>
      </w:tblGrid>
      <w:tr>
        <w:trPr>
          <w:cantSplit/>
          <w:tblHeader w:val="true"/>
        </w:trPr>
        <w:tc>
          <w:tcPr>
            <w:tcW w:type="dxa" w:w="9360"/>
            <w:shd w:fill="EAF3FF"/>
            <w:vAlign w:val="center"/>
          </w:tcPr>
          <w:p>
            <w:pPr>
              <w:pStyle w:val="Callout"/>
            </w:pPr>
            <w:r>
              <w:rPr>
                <w:b/>
                <w:color w:val="234C80"/>
              </w:rPr>
              <w:t xml:space="preserve">Objective. </w:t>
            </w:r>
            <w:r>
              <w:t>Verify correct FMX and platform detection without changing the target.</w:t>
            </w:r>
          </w:p>
        </w:tc>
      </w:tr>
    </w:tbl>
    <w:p>
      <w:pPr>
        <w:pStyle w:val="Heading3"/>
      </w:pPr>
      <w:r>
        <w:t>Procedure</w:t>
      </w:r>
    </w:p>
    <w:p>
      <w:pPr>
        <w:pStyle w:val="ListNumber"/>
        <w:numPr>
          <w:ilvl w:val="0"/>
          <w:numId w:val="14"/>
        </w:numPr>
      </w:pPr>
      <w:r>
        <w:t>Select Project &gt; Open Project.</w:t>
      </w:r>
    </w:p>
    <w:p>
      <w:pPr>
        <w:pStyle w:val="ListNumber"/>
        <w:numPr>
          <w:ilvl w:val="0"/>
          <w:numId w:val="14"/>
        </w:numPr>
      </w:pPr>
      <w:r>
        <w:t>Open C:\DelphiProjects\FMXPilot - Component Test\FMXPilot.dproj.</w:t>
      </w:r>
    </w:p>
    <w:p>
      <w:pPr>
        <w:pStyle w:val="ListNumber"/>
        <w:numPr>
          <w:ilvl w:val="0"/>
          <w:numId w:val="14"/>
        </w:numPr>
      </w:pPr>
      <w:r>
        <w:t>Read the project summary before scanning.</w:t>
      </w:r>
    </w:p>
    <w:p>
      <w:pPr>
        <w:pStyle w:val="ListNumber"/>
        <w:numPr>
          <w:ilvl w:val="0"/>
          <w:numId w:val="14"/>
        </w:numPr>
      </w:pPr>
      <w:r>
        <w:t>In a separate console, run git -C "C:\DelphiProjects\FMXPilot - Component Test" status --short.</w:t>
      </w:r>
    </w:p>
    <w:p>
      <w:pPr>
        <w:pStyle w:val="Heading3"/>
      </w:pPr>
      <w:r>
        <w:t>Expected result</w:t>
      </w:r>
    </w:p>
    <w:p>
      <w:pPr>
        <w:pStyle w:val="ListBullet"/>
      </w:pPr>
      <w:r>
        <w:t>Project: FMXPilot.</w:t>
      </w:r>
    </w:p>
    <w:p>
      <w:pPr>
        <w:pStyle w:val="ListBullet"/>
      </w:pPr>
      <w:r>
        <w:t>Framework: FireMonkey.</w:t>
      </w:r>
    </w:p>
    <w:p>
      <w:pPr>
        <w:pStyle w:val="ListBullet"/>
      </w:pPr>
      <w:r>
        <w:t>Windows targets: Win32 and Win64.</w:t>
      </w:r>
    </w:p>
    <w:p>
      <w:pPr>
        <w:pStyle w:val="ListBullet"/>
      </w:pPr>
      <w:r>
        <w:t>The Scan Project button is enabled.</w:t>
      </w:r>
    </w:p>
    <w:p>
      <w:pPr>
        <w:pStyle w:val="ListBullet"/>
      </w:pPr>
      <w:r>
        <w:t>Git status remains empty; opening performs no target write.</w:t>
      </w:r>
    </w:p>
    <w:tbl>
      <w:tblPr>
        <w:tblStyle w:val="TableGrid"/>
        <w:jc w:val="center"/>
        <w:tblLook w:firstColumn="1" w:firstRow="1" w:lastColumn="0" w:lastRow="0" w:noHBand="0" w:noVBand="1" w:val="04A0"/>
        <w:tblW w:w="9360" w:type="dxa"/>
        <w:tblInd w:w="120" w:type="dxa"/>
        <w:tblLayout w:type="fixed"/>
        <w:tblCellMar>
          <w:top w:w="80" w:type="dxa"/>
          <w:bottom w:w="80" w:type="dxa"/>
          <w:start w:w="120" w:type="dxa"/>
          <w:end w:w="120" w:type="dxa"/>
        </w:tblCellMar>
      </w:tblPr>
      <w:tblGrid>
        <w:gridCol w:w="1200"/>
        <w:gridCol w:w="2400"/>
        <w:gridCol w:w="1500"/>
        <w:gridCol w:w="4260"/>
      </w:tblGrid>
      <w:tr>
        <w:trPr>
          <w:tblHeader w:val="true"/>
        </w:trPr>
        <w:tc>
          <w:tcPr>
            <w:tcW w:type="dxa" w:w="1200"/>
            <w:shd w:fill="EAF3FF"/>
          </w:tcPr>
          <w:p>
            <w:r>
              <w:rPr>
                <w:rFonts w:ascii="Calibri" w:hAnsi="Calibri"/>
                <w:b/>
                <w:i w:val="0"/>
                <w:color w:val="234C80"/>
                <w:sz w:val="17"/>
              </w:rPr>
              <w:t>Result</w:t>
            </w:r>
          </w:p>
        </w:tc>
        <w:tc>
          <w:tcPr>
            <w:tcW w:type="dxa" w:w="2400"/>
          </w:tcPr>
          <w:p>
            <w:r>
              <w:rPr>
                <w:rFonts w:ascii="Calibri" w:hAnsi="Calibri"/>
                <w:b w:val="0"/>
                <w:i w:val="0"/>
                <w:color w:val="163A63"/>
                <w:sz w:val="17"/>
              </w:rPr>
              <w:t>PASS / FAIL / N/A</w:t>
            </w:r>
          </w:p>
        </w:tc>
        <w:tc>
          <w:tcPr>
            <w:tcW w:type="dxa" w:w="1500"/>
            <w:shd w:fill="EAF3FF"/>
          </w:tcPr>
          <w:p>
            <w:r>
              <w:rPr>
                <w:rFonts w:ascii="Calibri" w:hAnsi="Calibri"/>
                <w:b/>
                <w:i w:val="0"/>
                <w:color w:val="234C80"/>
                <w:sz w:val="17"/>
              </w:rPr>
              <w:t>Tester</w:t>
            </w:r>
          </w:p>
        </w:tc>
        <w:tc>
          <w:tcPr>
            <w:tcW w:type="dxa" w:w="4260"/>
          </w:tcPr>
          <w:p>
            <w:r>
              <w:rPr>
                <w:rFonts w:ascii="Calibri" w:hAnsi="Calibri"/>
                <w:b w:val="0"/>
                <w:i w:val="0"/>
                <w:color w:val="163A63"/>
                <w:sz w:val="17"/>
              </w:rPr>
            </w:r>
          </w:p>
        </w:tc>
      </w:tr>
      <w:tr>
        <w:tc>
          <w:tcPr>
            <w:tcW w:type="dxa" w:w="1200"/>
            <w:shd w:fill="EAF3FF"/>
          </w:tcPr>
          <w:p>
            <w:r>
              <w:rPr>
                <w:rFonts w:ascii="Calibri" w:hAnsi="Calibri"/>
                <w:b/>
                <w:i w:val="0"/>
                <w:color w:val="234C80"/>
                <w:sz w:val="17"/>
              </w:rPr>
              <w:t>Date</w:t>
            </w:r>
          </w:p>
        </w:tc>
        <w:tc>
          <w:tcPr>
            <w:tcW w:type="dxa" w:w="2400"/>
          </w:tcPr>
          <w:p>
            <w:r>
              <w:rPr>
                <w:rFonts w:ascii="Calibri" w:hAnsi="Calibri"/>
                <w:b w:val="0"/>
                <w:i w:val="0"/>
                <w:color w:val="163A63"/>
                <w:sz w:val="17"/>
              </w:rPr>
            </w:r>
          </w:p>
        </w:tc>
        <w:tc>
          <w:tcPr>
            <w:tcW w:type="dxa" w:w="1500"/>
            <w:shd w:fill="EAF3FF"/>
          </w:tcPr>
          <w:p>
            <w:r>
              <w:rPr>
                <w:rFonts w:ascii="Calibri" w:hAnsi="Calibri"/>
                <w:b/>
                <w:i w:val="0"/>
                <w:color w:val="234C80"/>
                <w:sz w:val="17"/>
              </w:rPr>
              <w:t>Defect / notes</w:t>
            </w:r>
          </w:p>
        </w:tc>
        <w:tc>
          <w:tcPr>
            <w:tcW w:type="dxa" w:w="4260"/>
          </w:tcPr>
          <w:p>
            <w:r>
              <w:rPr>
                <w:rFonts w:ascii="Calibri" w:hAnsi="Calibri"/>
                <w:b w:val="0"/>
                <w:i w:val="0"/>
                <w:color w:val="163A63"/>
                <w:sz w:val="17"/>
              </w:rPr>
            </w:r>
          </w:p>
        </w:tc>
      </w:tr>
    </w:tbl>
    <w:p/>
    <w:p>
      <w:pPr>
        <w:pStyle w:val="Heading2"/>
      </w:pPr>
      <w:r>
        <w:t>TC-03 Scan the project</w:t>
      </w:r>
    </w:p>
    <w:tbl>
      <w:tblPr>
        <w:jc w:val="center"/>
        <w:tblLook w:firstColumn="1" w:firstRow="1" w:lastColumn="0" w:lastRow="0" w:noHBand="0" w:noVBand="1" w:val="04A0"/>
        <w:tblW w:w="9360" w:type="dxa"/>
        <w:tblInd w:w="120" w:type="dxa"/>
        <w:tblLayout w:type="fixed"/>
        <w:tblCellMar>
          <w:top w:w="80" w:type="dxa"/>
          <w:bottom w:w="80" w:type="dxa"/>
          <w:start w:w="120" w:type="dxa"/>
          <w:end w:w="120" w:type="dxa"/>
        </w:tblCellMar>
      </w:tblPr>
      <w:tblGrid>
        <w:gridCol w:w="9360"/>
      </w:tblGrid>
      <w:tr>
        <w:trPr>
          <w:cantSplit/>
          <w:tblHeader w:val="true"/>
        </w:trPr>
        <w:tc>
          <w:tcPr>
            <w:tcW w:type="dxa" w:w="9360"/>
            <w:shd w:fill="EAF3FF"/>
            <w:vAlign w:val="center"/>
          </w:tcPr>
          <w:p>
            <w:pPr>
              <w:pStyle w:val="Callout"/>
            </w:pPr>
            <w:r>
              <w:rPr>
                <w:b/>
                <w:color w:val="234C80"/>
              </w:rPr>
              <w:t xml:space="preserve">Objective. </w:t>
            </w:r>
            <w:r>
              <w:t>Verify fast read-only extraction of FMX designer properties and resourcestrings.</w:t>
            </w:r>
          </w:p>
        </w:tc>
      </w:tr>
    </w:tbl>
    <w:p>
      <w:pPr>
        <w:pStyle w:val="Heading3"/>
      </w:pPr>
      <w:r>
        <w:t>Procedure</w:t>
      </w:r>
    </w:p>
    <w:p>
      <w:pPr>
        <w:pStyle w:val="ListNumber"/>
        <w:numPr>
          <w:ilvl w:val="0"/>
          <w:numId w:val="15"/>
        </w:numPr>
      </w:pPr>
      <w:r>
        <w:t>Select Scan.</w:t>
      </w:r>
    </w:p>
    <w:p>
      <w:pPr>
        <w:pStyle w:val="ListNumber"/>
        <w:numPr>
          <w:ilvl w:val="0"/>
          <w:numId w:val="15"/>
        </w:numPr>
      </w:pPr>
      <w:r>
        <w:t>Choose Scan Project and wait for Scan complete in the status panel.</w:t>
      </w:r>
    </w:p>
    <w:p>
      <w:pPr>
        <w:pStyle w:val="ListNumber"/>
        <w:numPr>
          <w:ilvl w:val="0"/>
          <w:numId w:val="15"/>
        </w:numPr>
      </w:pPr>
      <w:r>
        <w:t>Record total entries, form properties, resourcestrings, files scanned, and elapsed milliseconds.</w:t>
      </w:r>
    </w:p>
    <w:p>
      <w:pPr>
        <w:pStyle w:val="ListNumber"/>
        <w:numPr>
          <w:ilvl w:val="0"/>
          <w:numId w:val="15"/>
        </w:numPr>
      </w:pPr>
      <w:r>
        <w:t>Inspect representative labels, buttons, headings, memo text, list content, and any resourcestring entries.</w:t>
      </w:r>
    </w:p>
    <w:p>
      <w:pPr>
        <w:pStyle w:val="ListNumber"/>
        <w:numPr>
          <w:ilvl w:val="0"/>
          <w:numId w:val="15"/>
        </w:numPr>
      </w:pPr>
      <w:r>
        <w:t>Scroll rapidly from the top to the bottom and back through the scan-result list.</w:t>
      </w:r>
    </w:p>
    <w:p>
      <w:pPr>
        <w:pStyle w:val="ListNumber"/>
        <w:numPr>
          <w:ilvl w:val="0"/>
          <w:numId w:val="15"/>
        </w:numPr>
      </w:pPr>
      <w:r>
        <w:t>Run git -C "C:\DelphiProjects\FMXPilot - Component Test" status --short again.</w:t>
      </w:r>
    </w:p>
    <w:p>
      <w:pPr>
        <w:pStyle w:val="Heading3"/>
      </w:pPr>
      <w:r>
        <w:t>Expected result</w:t>
      </w:r>
    </w:p>
    <w:p>
      <w:pPr>
        <w:pStyle w:val="ListBullet"/>
      </w:pPr>
      <w:r>
        <w:t>The scan completes without an exception.</w:t>
      </w:r>
    </w:p>
    <w:p>
      <w:pPr>
        <w:pStyle w:val="ListBullet"/>
      </w:pPr>
      <w:r>
        <w:t>The result list contains stable form/component/property keys and readable source text.</w:t>
      </w:r>
    </w:p>
    <w:p>
      <w:pPr>
        <w:pStyle w:val="ListBullet"/>
      </w:pPr>
      <w:r>
        <w:t>Rows remain separated while scrolling; text never paints over adjacent rows.</w:t>
      </w:r>
    </w:p>
    <w:p>
      <w:pPr>
        <w:pStyle w:val="ListBullet"/>
      </w:pPr>
      <w:r>
        <w:t>Elapsed time is reported in milliseconds. Performance is recorded, not hard-coded to a particular machine.</w:t>
      </w:r>
    </w:p>
    <w:p>
      <w:pPr>
        <w:pStyle w:val="ListBullet"/>
      </w:pPr>
      <w:r>
        <w:t>No Localization folder is created merely by scanning.</w:t>
      </w:r>
    </w:p>
    <w:p>
      <w:pPr>
        <w:pStyle w:val="ListBullet"/>
      </w:pPr>
      <w:r>
        <w:t>Git status remains empty.</w:t>
      </w:r>
    </w:p>
    <w:tbl>
      <w:tblPr>
        <w:tblStyle w:val="TableGrid"/>
        <w:jc w:val="center"/>
        <w:tblLook w:firstColumn="1" w:firstRow="1" w:lastColumn="0" w:lastRow="0" w:noHBand="0" w:noVBand="1" w:val="04A0"/>
        <w:tblW w:w="9360" w:type="dxa"/>
        <w:tblInd w:w="120" w:type="dxa"/>
        <w:tblLayout w:type="fixed"/>
        <w:tblCellMar>
          <w:top w:w="80" w:type="dxa"/>
          <w:bottom w:w="80" w:type="dxa"/>
          <w:start w:w="120" w:type="dxa"/>
          <w:end w:w="120" w:type="dxa"/>
        </w:tblCellMar>
      </w:tblPr>
      <w:tblGrid>
        <w:gridCol w:w="1200"/>
        <w:gridCol w:w="2400"/>
        <w:gridCol w:w="1500"/>
        <w:gridCol w:w="4260"/>
      </w:tblGrid>
      <w:tr>
        <w:trPr>
          <w:tblHeader w:val="true"/>
        </w:trPr>
        <w:tc>
          <w:tcPr>
            <w:tcW w:type="dxa" w:w="1200"/>
            <w:shd w:fill="EAF3FF"/>
          </w:tcPr>
          <w:p>
            <w:r>
              <w:rPr>
                <w:rFonts w:ascii="Calibri" w:hAnsi="Calibri"/>
                <w:b/>
                <w:i w:val="0"/>
                <w:color w:val="234C80"/>
                <w:sz w:val="17"/>
              </w:rPr>
              <w:t>Result</w:t>
            </w:r>
          </w:p>
        </w:tc>
        <w:tc>
          <w:tcPr>
            <w:tcW w:type="dxa" w:w="2400"/>
          </w:tcPr>
          <w:p>
            <w:r>
              <w:rPr>
                <w:rFonts w:ascii="Calibri" w:hAnsi="Calibri"/>
                <w:b w:val="0"/>
                <w:i w:val="0"/>
                <w:color w:val="163A63"/>
                <w:sz w:val="17"/>
              </w:rPr>
              <w:t>PASS / FAIL / N/A</w:t>
            </w:r>
          </w:p>
        </w:tc>
        <w:tc>
          <w:tcPr>
            <w:tcW w:type="dxa" w:w="1500"/>
            <w:shd w:fill="EAF3FF"/>
          </w:tcPr>
          <w:p>
            <w:r>
              <w:rPr>
                <w:rFonts w:ascii="Calibri" w:hAnsi="Calibri"/>
                <w:b/>
                <w:i w:val="0"/>
                <w:color w:val="234C80"/>
                <w:sz w:val="17"/>
              </w:rPr>
              <w:t>Tester</w:t>
            </w:r>
          </w:p>
        </w:tc>
        <w:tc>
          <w:tcPr>
            <w:tcW w:type="dxa" w:w="4260"/>
          </w:tcPr>
          <w:p>
            <w:r>
              <w:rPr>
                <w:rFonts w:ascii="Calibri" w:hAnsi="Calibri"/>
                <w:b w:val="0"/>
                <w:i w:val="0"/>
                <w:color w:val="163A63"/>
                <w:sz w:val="17"/>
              </w:rPr>
            </w:r>
          </w:p>
        </w:tc>
      </w:tr>
      <w:tr>
        <w:tc>
          <w:tcPr>
            <w:tcW w:type="dxa" w:w="1200"/>
            <w:shd w:fill="EAF3FF"/>
          </w:tcPr>
          <w:p>
            <w:r>
              <w:rPr>
                <w:rFonts w:ascii="Calibri" w:hAnsi="Calibri"/>
                <w:b/>
                <w:i w:val="0"/>
                <w:color w:val="234C80"/>
                <w:sz w:val="17"/>
              </w:rPr>
              <w:t>Date</w:t>
            </w:r>
          </w:p>
        </w:tc>
        <w:tc>
          <w:tcPr>
            <w:tcW w:type="dxa" w:w="2400"/>
          </w:tcPr>
          <w:p>
            <w:r>
              <w:rPr>
                <w:rFonts w:ascii="Calibri" w:hAnsi="Calibri"/>
                <w:b w:val="0"/>
                <w:i w:val="0"/>
                <w:color w:val="163A63"/>
                <w:sz w:val="17"/>
              </w:rPr>
            </w:r>
          </w:p>
        </w:tc>
        <w:tc>
          <w:tcPr>
            <w:tcW w:type="dxa" w:w="1500"/>
            <w:shd w:fill="EAF3FF"/>
          </w:tcPr>
          <w:p>
            <w:r>
              <w:rPr>
                <w:rFonts w:ascii="Calibri" w:hAnsi="Calibri"/>
                <w:b/>
                <w:i w:val="0"/>
                <w:color w:val="234C80"/>
                <w:sz w:val="17"/>
              </w:rPr>
              <w:t>Defect / notes</w:t>
            </w:r>
          </w:p>
        </w:tc>
        <w:tc>
          <w:tcPr>
            <w:tcW w:type="dxa" w:w="4260"/>
          </w:tcPr>
          <w:p>
            <w:r>
              <w:rPr>
                <w:rFonts w:ascii="Calibri" w:hAnsi="Calibri"/>
                <w:b w:val="0"/>
                <w:i w:val="0"/>
                <w:color w:val="163A63"/>
                <w:sz w:val="17"/>
              </w:rPr>
            </w:r>
          </w:p>
        </w:tc>
      </w:tr>
    </w:tbl>
    <w:p/>
    <w:p>
      <w:pPr>
        <w:pStyle w:val="Heading2"/>
      </w:pPr>
      <w:r>
        <w:t>TC-04 Configure and test a provider</w:t>
      </w:r>
    </w:p>
    <w:tbl>
      <w:tblPr>
        <w:jc w:val="center"/>
        <w:tblLook w:firstColumn="1" w:firstRow="1" w:lastColumn="0" w:lastRow="0" w:noHBand="0" w:noVBand="1" w:val="04A0"/>
        <w:tblW w:w="9360" w:type="dxa"/>
        <w:tblInd w:w="120" w:type="dxa"/>
        <w:tblLayout w:type="fixed"/>
        <w:tblCellMar>
          <w:top w:w="80" w:type="dxa"/>
          <w:bottom w:w="80" w:type="dxa"/>
          <w:start w:w="120" w:type="dxa"/>
          <w:end w:w="120" w:type="dxa"/>
        </w:tblCellMar>
      </w:tblPr>
      <w:tblGrid>
        <w:gridCol w:w="9360"/>
      </w:tblGrid>
      <w:tr>
        <w:trPr>
          <w:cantSplit/>
          <w:tblHeader w:val="true"/>
        </w:trPr>
        <w:tc>
          <w:tcPr>
            <w:tcW w:type="dxa" w:w="9360"/>
            <w:shd w:fill="EAF3FF"/>
            <w:vAlign w:val="center"/>
          </w:tcPr>
          <w:p>
            <w:pPr>
              <w:pStyle w:val="Callout"/>
            </w:pPr>
            <w:r>
              <w:rPr>
                <w:b/>
                <w:color w:val="234C80"/>
              </w:rPr>
              <w:t xml:space="preserve">Objective. </w:t>
            </w:r>
            <w:r>
              <w:t>Verify secure Google or DeepL configuration and a live connection without exposing the key.</w:t>
            </w:r>
          </w:p>
        </w:tc>
      </w:tr>
    </w:tbl>
    <w:p>
      <w:pPr>
        <w:pStyle w:val="Heading3"/>
      </w:pPr>
      <w:r>
        <w:t>Procedure</w:t>
      </w:r>
    </w:p>
    <w:p>
      <w:pPr>
        <w:pStyle w:val="ListNumber"/>
        <w:numPr>
          <w:ilvl w:val="0"/>
          <w:numId w:val="16"/>
        </w:numPr>
      </w:pPr>
      <w:r>
        <w:t>Select Provider Settings.</w:t>
      </w:r>
    </w:p>
    <w:p>
      <w:pPr>
        <w:pStyle w:val="ListNumber"/>
        <w:numPr>
          <w:ilvl w:val="0"/>
          <w:numId w:val="16"/>
        </w:numPr>
      </w:pPr>
      <w:r>
        <w:t>Choose Google Cloud Translation for a Google Basic v2 API key, or choose DeepL and the correct API Free/API Pro plan.</w:t>
      </w:r>
    </w:p>
    <w:p>
      <w:pPr>
        <w:pStyle w:val="ListNumber"/>
        <w:numPr>
          <w:ilvl w:val="0"/>
          <w:numId w:val="16"/>
        </w:numPr>
      </w:pPr>
      <w:r>
        <w:t>Leave timeout at 30 seconds and strings per request at 40 for the first test.</w:t>
      </w:r>
    </w:p>
    <w:p>
      <w:pPr>
        <w:pStyle w:val="ListNumber"/>
        <w:numPr>
          <w:ilvl w:val="0"/>
          <w:numId w:val="16"/>
        </w:numPr>
      </w:pPr>
      <w:r>
        <w:t>Paste the key into the masked API key field.</w:t>
      </w:r>
    </w:p>
    <w:p>
      <w:pPr>
        <w:pStyle w:val="ListNumber"/>
        <w:numPr>
          <w:ilvl w:val="0"/>
          <w:numId w:val="16"/>
        </w:numPr>
      </w:pPr>
      <w:r>
        <w:t>For a persistent test, check Remember securely on this computer. For a temporary test, clear it.</w:t>
      </w:r>
    </w:p>
    <w:p>
      <w:pPr>
        <w:pStyle w:val="ListNumber"/>
        <w:numPr>
          <w:ilvl w:val="0"/>
          <w:numId w:val="16"/>
        </w:numPr>
      </w:pPr>
      <w:r>
        <w:t>Choose Replace / Save Key, then Test Connection.</w:t>
      </w:r>
    </w:p>
    <w:p>
      <w:pPr>
        <w:pStyle w:val="ListNumber"/>
        <w:numPr>
          <w:ilvl w:val="0"/>
          <w:numId w:val="16"/>
        </w:numPr>
      </w:pPr>
      <w:r>
        <w:t>Confirm no API key appears in the status panel, project files, or generated JSON.</w:t>
      </w:r>
    </w:p>
    <w:p>
      <w:pPr>
        <w:pStyle w:val="Heading3"/>
      </w:pPr>
      <w:r>
        <w:t>Expected result</w:t>
      </w:r>
    </w:p>
    <w:p>
      <w:pPr>
        <w:pStyle w:val="ListBullet"/>
      </w:pPr>
      <w:r>
        <w:t>The masked field does not display the clear key.</w:t>
      </w:r>
    </w:p>
    <w:p>
      <w:pPr>
        <w:pStyle w:val="ListBullet"/>
      </w:pPr>
      <w:r>
        <w:t>Test Connection succeeds with a small English-to-Italian request.</w:t>
      </w:r>
    </w:p>
    <w:p>
      <w:pPr>
        <w:pStyle w:val="ListBullet"/>
      </w:pPr>
      <w:r>
        <w:t>Remembered mode reports Windows Credential Manager storage; session-only mode reports that the key will be forgotten when the Studio closes.</w:t>
      </w:r>
    </w:p>
    <w:p>
      <w:pPr>
        <w:pStyle w:val="ListBullet"/>
      </w:pPr>
      <w:r>
        <w:t>The target project remains unchanged.</w:t>
      </w:r>
    </w:p>
    <w:tbl>
      <w:tblPr>
        <w:tblStyle w:val="TableGrid"/>
        <w:jc w:val="center"/>
        <w:tblLook w:firstColumn="1" w:firstRow="1" w:lastColumn="0" w:lastRow="0" w:noHBand="0" w:noVBand="1" w:val="04A0"/>
        <w:tblW w:w="9360" w:type="dxa"/>
        <w:tblInd w:w="120" w:type="dxa"/>
        <w:tblLayout w:type="fixed"/>
        <w:tblCellMar>
          <w:top w:w="80" w:type="dxa"/>
          <w:bottom w:w="80" w:type="dxa"/>
          <w:start w:w="120" w:type="dxa"/>
          <w:end w:w="120" w:type="dxa"/>
        </w:tblCellMar>
      </w:tblPr>
      <w:tblGrid>
        <w:gridCol w:w="1200"/>
        <w:gridCol w:w="2400"/>
        <w:gridCol w:w="1500"/>
        <w:gridCol w:w="4260"/>
      </w:tblGrid>
      <w:tr>
        <w:trPr>
          <w:tblHeader w:val="true"/>
        </w:trPr>
        <w:tc>
          <w:tcPr>
            <w:tcW w:type="dxa" w:w="1200"/>
            <w:shd w:fill="EAF3FF"/>
          </w:tcPr>
          <w:p>
            <w:r>
              <w:rPr>
                <w:rFonts w:ascii="Calibri" w:hAnsi="Calibri"/>
                <w:b/>
                <w:i w:val="0"/>
                <w:color w:val="234C80"/>
                <w:sz w:val="17"/>
              </w:rPr>
              <w:t>Result</w:t>
            </w:r>
          </w:p>
        </w:tc>
        <w:tc>
          <w:tcPr>
            <w:tcW w:type="dxa" w:w="2400"/>
          </w:tcPr>
          <w:p>
            <w:r>
              <w:rPr>
                <w:rFonts w:ascii="Calibri" w:hAnsi="Calibri"/>
                <w:b w:val="0"/>
                <w:i w:val="0"/>
                <w:color w:val="163A63"/>
                <w:sz w:val="17"/>
              </w:rPr>
              <w:t>PASS / FAIL / N/A</w:t>
            </w:r>
          </w:p>
        </w:tc>
        <w:tc>
          <w:tcPr>
            <w:tcW w:type="dxa" w:w="1500"/>
            <w:shd w:fill="EAF3FF"/>
          </w:tcPr>
          <w:p>
            <w:r>
              <w:rPr>
                <w:rFonts w:ascii="Calibri" w:hAnsi="Calibri"/>
                <w:b/>
                <w:i w:val="0"/>
                <w:color w:val="234C80"/>
                <w:sz w:val="17"/>
              </w:rPr>
              <w:t>Tester</w:t>
            </w:r>
          </w:p>
        </w:tc>
        <w:tc>
          <w:tcPr>
            <w:tcW w:type="dxa" w:w="4260"/>
          </w:tcPr>
          <w:p>
            <w:r>
              <w:rPr>
                <w:rFonts w:ascii="Calibri" w:hAnsi="Calibri"/>
                <w:b w:val="0"/>
                <w:i w:val="0"/>
                <w:color w:val="163A63"/>
                <w:sz w:val="17"/>
              </w:rPr>
            </w:r>
          </w:p>
        </w:tc>
      </w:tr>
      <w:tr>
        <w:tc>
          <w:tcPr>
            <w:tcW w:type="dxa" w:w="1200"/>
            <w:shd w:fill="EAF3FF"/>
          </w:tcPr>
          <w:p>
            <w:r>
              <w:rPr>
                <w:rFonts w:ascii="Calibri" w:hAnsi="Calibri"/>
                <w:b/>
                <w:i w:val="0"/>
                <w:color w:val="234C80"/>
                <w:sz w:val="17"/>
              </w:rPr>
              <w:t>Date</w:t>
            </w:r>
          </w:p>
        </w:tc>
        <w:tc>
          <w:tcPr>
            <w:tcW w:type="dxa" w:w="2400"/>
          </w:tcPr>
          <w:p>
            <w:r>
              <w:rPr>
                <w:rFonts w:ascii="Calibri" w:hAnsi="Calibri"/>
                <w:b w:val="0"/>
                <w:i w:val="0"/>
                <w:color w:val="163A63"/>
                <w:sz w:val="17"/>
              </w:rPr>
            </w:r>
          </w:p>
        </w:tc>
        <w:tc>
          <w:tcPr>
            <w:tcW w:type="dxa" w:w="1500"/>
            <w:shd w:fill="EAF3FF"/>
          </w:tcPr>
          <w:p>
            <w:r>
              <w:rPr>
                <w:rFonts w:ascii="Calibri" w:hAnsi="Calibri"/>
                <w:b/>
                <w:i w:val="0"/>
                <w:color w:val="234C80"/>
                <w:sz w:val="17"/>
              </w:rPr>
              <w:t>Defect / notes</w:t>
            </w:r>
          </w:p>
        </w:tc>
        <w:tc>
          <w:tcPr>
            <w:tcW w:type="dxa" w:w="4260"/>
          </w:tcPr>
          <w:p>
            <w:r>
              <w:rPr>
                <w:rFonts w:ascii="Calibri" w:hAnsi="Calibri"/>
                <w:b w:val="0"/>
                <w:i w:val="0"/>
                <w:color w:val="163A63"/>
                <w:sz w:val="17"/>
              </w:rPr>
            </w:r>
          </w:p>
        </w:tc>
      </w:tr>
    </w:tbl>
    <w:p/>
    <w:p>
      <w:pPr>
        <w:pStyle w:val="Heading2"/>
      </w:pPr>
      <w:r>
        <w:t>TC-05 Create the development catalog</w:t>
      </w:r>
    </w:p>
    <w:tbl>
      <w:tblPr>
        <w:jc w:val="center"/>
        <w:tblLook w:firstColumn="1" w:firstRow="1" w:lastColumn="0" w:lastRow="0" w:noHBand="0" w:noVBand="1" w:val="04A0"/>
        <w:tblW w:w="9360" w:type="dxa"/>
        <w:tblInd w:w="120" w:type="dxa"/>
        <w:tblLayout w:type="fixed"/>
        <w:tblCellMar>
          <w:top w:w="80" w:type="dxa"/>
          <w:bottom w:w="80" w:type="dxa"/>
          <w:start w:w="120" w:type="dxa"/>
          <w:end w:w="120" w:type="dxa"/>
        </w:tblCellMar>
      </w:tblPr>
      <w:tblGrid>
        <w:gridCol w:w="9360"/>
      </w:tblGrid>
      <w:tr>
        <w:trPr>
          <w:cantSplit/>
          <w:tblHeader w:val="true"/>
        </w:trPr>
        <w:tc>
          <w:tcPr>
            <w:tcW w:type="dxa" w:w="9360"/>
            <w:shd w:fill="EAF3FF"/>
            <w:vAlign w:val="center"/>
          </w:tcPr>
          <w:p>
            <w:pPr>
              <w:pStyle w:val="Callout"/>
            </w:pPr>
            <w:r>
              <w:rPr>
                <w:b/>
                <w:color w:val="234C80"/>
              </w:rPr>
              <w:t xml:space="preserve">Objective. </w:t>
            </w:r>
            <w:r>
              <w:t>Verify target-language lists, locale defaults, and project-local JSON catalog creation.</w:t>
            </w:r>
          </w:p>
        </w:tc>
      </w:tr>
    </w:tbl>
    <w:p>
      <w:pPr>
        <w:pStyle w:val="Heading3"/>
      </w:pPr>
      <w:r>
        <w:t>Procedure</w:t>
      </w:r>
    </w:p>
    <w:p>
      <w:pPr>
        <w:pStyle w:val="ListNumber"/>
        <w:numPr>
          <w:ilvl w:val="0"/>
          <w:numId w:val="17"/>
        </w:numPr>
      </w:pPr>
      <w:r>
        <w:t>Select Translate.</w:t>
      </w:r>
    </w:p>
    <w:p>
      <w:pPr>
        <w:pStyle w:val="ListNumber"/>
        <w:numPr>
          <w:ilvl w:val="0"/>
          <w:numId w:val="17"/>
        </w:numPr>
      </w:pPr>
      <w:r>
        <w:t>Confirm source language English (United States) [en-US].</w:t>
      </w:r>
    </w:p>
    <w:p>
      <w:pPr>
        <w:pStyle w:val="ListNumber"/>
        <w:numPr>
          <w:ilvl w:val="0"/>
          <w:numId w:val="17"/>
        </w:numPr>
      </w:pPr>
      <w:r>
        <w:t>Select Spanish (Spain) [es-ES], Italian (Italy) [it-IT], or another intended language from the list.</w:t>
      </w:r>
    </w:p>
    <w:p>
      <w:pPr>
        <w:pStyle w:val="ListNumber"/>
        <w:numPr>
          <w:ilvl w:val="0"/>
          <w:numId w:val="17"/>
        </w:numPr>
      </w:pPr>
      <w:r>
        <w:t>Review native language name, left-to-right/right-to-left direction, short/long date, short/long time, decimal, thousands, and currency values.</w:t>
      </w:r>
    </w:p>
    <w:p>
      <w:pPr>
        <w:pStyle w:val="ListNumber"/>
        <w:numPr>
          <w:ilvl w:val="0"/>
          <w:numId w:val="17"/>
        </w:numPr>
      </w:pPr>
      <w:r>
        <w:t>Choose Save.</w:t>
      </w:r>
    </w:p>
    <w:p>
      <w:pPr>
        <w:pStyle w:val="ListNumber"/>
        <w:numPr>
          <w:ilvl w:val="0"/>
          <w:numId w:val="17"/>
        </w:numPr>
      </w:pPr>
      <w:r>
        <w:t>Click the blue displayed catalog path. Confirm File Explorer opens with the JSON catalog selected, then open it in a text editor and confirm it is JSON, not CSV.</w:t>
      </w:r>
    </w:p>
    <w:p>
      <w:pPr>
        <w:pStyle w:val="Heading3"/>
      </w:pPr>
      <w:r>
        <w:t>Expected result</w:t>
      </w:r>
    </w:p>
    <w:p>
      <w:pPr>
        <w:pStyle w:val="ListBullet"/>
      </w:pPr>
      <w:r>
        <w:t>Catalog path: C:\DelphiProjects\FMXPilot - Component Test\Localization\Development\FMXPilot.&lt;locale&gt;.translation-project.json.</w:t>
      </w:r>
    </w:p>
    <w:p>
      <w:pPr>
        <w:pStyle w:val="ListBullet"/>
      </w:pPr>
      <w:r>
        <w:t>The file is UTF-8 JSON and includes application, framework, locale, entries, status, provenance, source checksum, and runtime classification data.</w:t>
      </w:r>
    </w:p>
    <w:p>
      <w:pPr>
        <w:pStyle w:val="ListBullet"/>
      </w:pPr>
      <w:r>
        <w:t>CSV Out and CSV In remain optional interchange tools; they are not the normal automatic-translation path and are not runtime packs.</w:t>
      </w:r>
    </w:p>
    <w:tbl>
      <w:tblPr>
        <w:tblStyle w:val="TableGrid"/>
        <w:jc w:val="center"/>
        <w:tblLook w:firstColumn="1" w:firstRow="1" w:lastColumn="0" w:lastRow="0" w:noHBand="0" w:noVBand="1" w:val="04A0"/>
        <w:tblW w:w="9360" w:type="dxa"/>
        <w:tblInd w:w="120" w:type="dxa"/>
        <w:tblLayout w:type="fixed"/>
        <w:tblCellMar>
          <w:top w:w="80" w:type="dxa"/>
          <w:bottom w:w="80" w:type="dxa"/>
          <w:start w:w="120" w:type="dxa"/>
          <w:end w:w="120" w:type="dxa"/>
        </w:tblCellMar>
      </w:tblPr>
      <w:tblGrid>
        <w:gridCol w:w="1200"/>
        <w:gridCol w:w="2400"/>
        <w:gridCol w:w="1500"/>
        <w:gridCol w:w="4260"/>
      </w:tblGrid>
      <w:tr>
        <w:trPr>
          <w:tblHeader w:val="true"/>
        </w:trPr>
        <w:tc>
          <w:tcPr>
            <w:tcW w:type="dxa" w:w="1200"/>
            <w:shd w:fill="EAF3FF"/>
          </w:tcPr>
          <w:p>
            <w:r>
              <w:rPr>
                <w:rFonts w:ascii="Calibri" w:hAnsi="Calibri"/>
                <w:b/>
                <w:i w:val="0"/>
                <w:color w:val="234C80"/>
                <w:sz w:val="17"/>
              </w:rPr>
              <w:t>Result</w:t>
            </w:r>
          </w:p>
        </w:tc>
        <w:tc>
          <w:tcPr>
            <w:tcW w:type="dxa" w:w="2400"/>
          </w:tcPr>
          <w:p>
            <w:r>
              <w:rPr>
                <w:rFonts w:ascii="Calibri" w:hAnsi="Calibri"/>
                <w:b w:val="0"/>
                <w:i w:val="0"/>
                <w:color w:val="163A63"/>
                <w:sz w:val="17"/>
              </w:rPr>
              <w:t>PASS / FAIL / N/A</w:t>
            </w:r>
          </w:p>
        </w:tc>
        <w:tc>
          <w:tcPr>
            <w:tcW w:type="dxa" w:w="1500"/>
            <w:shd w:fill="EAF3FF"/>
          </w:tcPr>
          <w:p>
            <w:r>
              <w:rPr>
                <w:rFonts w:ascii="Calibri" w:hAnsi="Calibri"/>
                <w:b/>
                <w:i w:val="0"/>
                <w:color w:val="234C80"/>
                <w:sz w:val="17"/>
              </w:rPr>
              <w:t>Tester</w:t>
            </w:r>
          </w:p>
        </w:tc>
        <w:tc>
          <w:tcPr>
            <w:tcW w:type="dxa" w:w="4260"/>
          </w:tcPr>
          <w:p>
            <w:r>
              <w:rPr>
                <w:rFonts w:ascii="Calibri" w:hAnsi="Calibri"/>
                <w:b w:val="0"/>
                <w:i w:val="0"/>
                <w:color w:val="163A63"/>
                <w:sz w:val="17"/>
              </w:rPr>
            </w:r>
          </w:p>
        </w:tc>
      </w:tr>
      <w:tr>
        <w:tc>
          <w:tcPr>
            <w:tcW w:type="dxa" w:w="1200"/>
            <w:shd w:fill="EAF3FF"/>
          </w:tcPr>
          <w:p>
            <w:r>
              <w:rPr>
                <w:rFonts w:ascii="Calibri" w:hAnsi="Calibri"/>
                <w:b/>
                <w:i w:val="0"/>
                <w:color w:val="234C80"/>
                <w:sz w:val="17"/>
              </w:rPr>
              <w:t>Date</w:t>
            </w:r>
          </w:p>
        </w:tc>
        <w:tc>
          <w:tcPr>
            <w:tcW w:type="dxa" w:w="2400"/>
          </w:tcPr>
          <w:p>
            <w:r>
              <w:rPr>
                <w:rFonts w:ascii="Calibri" w:hAnsi="Calibri"/>
                <w:b w:val="0"/>
                <w:i w:val="0"/>
                <w:color w:val="163A63"/>
                <w:sz w:val="17"/>
              </w:rPr>
            </w:r>
          </w:p>
        </w:tc>
        <w:tc>
          <w:tcPr>
            <w:tcW w:type="dxa" w:w="1500"/>
            <w:shd w:fill="EAF3FF"/>
          </w:tcPr>
          <w:p>
            <w:r>
              <w:rPr>
                <w:rFonts w:ascii="Calibri" w:hAnsi="Calibri"/>
                <w:b/>
                <w:i w:val="0"/>
                <w:color w:val="234C80"/>
                <w:sz w:val="17"/>
              </w:rPr>
              <w:t>Defect / notes</w:t>
            </w:r>
          </w:p>
        </w:tc>
        <w:tc>
          <w:tcPr>
            <w:tcW w:type="dxa" w:w="4260"/>
          </w:tcPr>
          <w:p>
            <w:r>
              <w:rPr>
                <w:rFonts w:ascii="Calibri" w:hAnsi="Calibri"/>
                <w:b w:val="0"/>
                <w:i w:val="0"/>
                <w:color w:val="163A63"/>
                <w:sz w:val="17"/>
              </w:rPr>
            </w:r>
          </w:p>
        </w:tc>
      </w:tr>
    </w:tbl>
    <w:p/>
    <w:p>
      <w:pPr>
        <w:pStyle w:val="Heading2"/>
      </w:pPr>
      <w:r>
        <w:t>TC-06 Translate automatically</w:t>
      </w:r>
    </w:p>
    <w:tbl>
      <w:tblPr>
        <w:jc w:val="center"/>
        <w:tblLook w:firstColumn="1" w:firstRow="1" w:lastColumn="0" w:lastRow="0" w:noHBand="0" w:noVBand="1" w:val="04A0"/>
        <w:tblW w:w="9360" w:type="dxa"/>
        <w:tblInd w:w="120" w:type="dxa"/>
        <w:tblLayout w:type="fixed"/>
        <w:tblCellMar>
          <w:top w:w="80" w:type="dxa"/>
          <w:bottom w:w="80" w:type="dxa"/>
          <w:start w:w="120" w:type="dxa"/>
          <w:end w:w="120" w:type="dxa"/>
        </w:tblCellMar>
      </w:tblPr>
      <w:tblGrid>
        <w:gridCol w:w="9360"/>
      </w:tblGrid>
      <w:tr>
        <w:trPr>
          <w:cantSplit/>
          <w:tblHeader w:val="true"/>
        </w:trPr>
        <w:tc>
          <w:tcPr>
            <w:tcW w:type="dxa" w:w="9360"/>
            <w:shd w:fill="EAF3FF"/>
            <w:vAlign w:val="center"/>
          </w:tcPr>
          <w:p>
            <w:pPr>
              <w:pStyle w:val="Callout"/>
            </w:pPr>
            <w:r>
              <w:rPr>
                <w:b/>
                <w:color w:val="234C80"/>
              </w:rPr>
              <w:t xml:space="preserve">Objective. </w:t>
            </w:r>
            <w:r>
              <w:t>Verify the Studio sends eligible catalog entries to the configured provider, records returned values one by one, and auto-saves the JSON catalog.</w:t>
            </w:r>
          </w:p>
        </w:tc>
      </w:tr>
    </w:tbl>
    <w:p>
      <w:pPr>
        <w:pStyle w:val="Heading3"/>
      </w:pPr>
      <w:r>
        <w:t>Procedure</w:t>
      </w:r>
    </w:p>
    <w:p>
      <w:pPr>
        <w:pStyle w:val="ListNumber"/>
        <w:numPr>
          <w:ilvl w:val="0"/>
          <w:numId w:val="18"/>
        </w:numPr>
      </w:pPr>
      <w:r>
        <w:t>On Translate, choose Translate Automatically.</w:t>
      </w:r>
    </w:p>
    <w:p>
      <w:pPr>
        <w:pStyle w:val="ListNumber"/>
        <w:numPr>
          <w:ilvl w:val="0"/>
          <w:numId w:val="18"/>
        </w:numPr>
      </w:pPr>
      <w:r>
        <w:t>Read the confirmation: it must name the provider, unresolved count, protected reviewed/approved behavior, and automatic saving.</w:t>
      </w:r>
    </w:p>
    <w:p>
      <w:pPr>
        <w:pStyle w:val="ListNumber"/>
        <w:numPr>
          <w:ilvl w:val="0"/>
          <w:numId w:val="18"/>
        </w:numPr>
      </w:pPr>
      <w:r>
        <w:t>Choose Yes and allow every bounded batch to finish.</w:t>
      </w:r>
    </w:p>
    <w:p>
      <w:pPr>
        <w:pStyle w:val="ListNumber"/>
        <w:numPr>
          <w:ilvl w:val="0"/>
          <w:numId w:val="18"/>
        </w:numPr>
      </w:pPr>
      <w:r>
        <w:t>Inspect entries from the top, middle, and bottom of the catalog.</w:t>
      </w:r>
    </w:p>
    <w:p>
      <w:pPr>
        <w:pStyle w:val="ListNumber"/>
        <w:numPr>
          <w:ilvl w:val="0"/>
          <w:numId w:val="18"/>
        </w:numPr>
      </w:pPr>
      <w:r>
        <w:t>Close and reopen the catalog or Studio, then confirm the translations remain present.</w:t>
      </w:r>
    </w:p>
    <w:p>
      <w:pPr>
        <w:pStyle w:val="Heading3"/>
      </w:pPr>
      <w:r>
        <w:t>Expected result</w:t>
      </w:r>
    </w:p>
    <w:p>
      <w:pPr>
        <w:pStyle w:val="ListBullet"/>
      </w:pPr>
      <w:r>
        <w:t>Eligible Needs Translation, Source Changed, and Error entries receive translated text.</w:t>
      </w:r>
    </w:p>
    <w:p>
      <w:pPr>
        <w:pStyle w:val="ListBullet"/>
      </w:pPr>
      <w:r>
        <w:t>Returned entries are marked Machine translated with Google or DeepL origin; they are not silently approved.</w:t>
      </w:r>
    </w:p>
    <w:p>
      <w:pPr>
        <w:pStyle w:val="ListBullet"/>
      </w:pPr>
      <w:r>
        <w:t>Reviewed, Approved, Excluded, and Obsolete entries are not overwritten.</w:t>
      </w:r>
    </w:p>
    <w:p>
      <w:pPr>
        <w:pStyle w:val="ListBullet"/>
      </w:pPr>
      <w:r>
        <w:t>The development JSON catalog is saved automatically after a successful provider result.</w:t>
      </w:r>
    </w:p>
    <w:p>
      <w:pPr>
        <w:pStyle w:val="ListBullet"/>
      </w:pPr>
      <w:r>
        <w:t>Provider credentials do not appear in the catalog.</w:t>
      </w:r>
    </w:p>
    <w:tbl>
      <w:tblPr>
        <w:tblStyle w:val="TableGrid"/>
        <w:jc w:val="center"/>
        <w:tblLook w:firstColumn="1" w:firstRow="1" w:lastColumn="0" w:lastRow="0" w:noHBand="0" w:noVBand="1" w:val="04A0"/>
        <w:tblW w:w="9360" w:type="dxa"/>
        <w:tblInd w:w="120" w:type="dxa"/>
        <w:tblLayout w:type="fixed"/>
        <w:tblCellMar>
          <w:top w:w="80" w:type="dxa"/>
          <w:bottom w:w="80" w:type="dxa"/>
          <w:start w:w="120" w:type="dxa"/>
          <w:end w:w="120" w:type="dxa"/>
        </w:tblCellMar>
      </w:tblPr>
      <w:tblGrid>
        <w:gridCol w:w="1200"/>
        <w:gridCol w:w="2400"/>
        <w:gridCol w:w="1500"/>
        <w:gridCol w:w="4260"/>
      </w:tblGrid>
      <w:tr>
        <w:trPr>
          <w:tblHeader w:val="true"/>
        </w:trPr>
        <w:tc>
          <w:tcPr>
            <w:tcW w:type="dxa" w:w="1200"/>
            <w:shd w:fill="EAF3FF"/>
          </w:tcPr>
          <w:p>
            <w:r>
              <w:rPr>
                <w:rFonts w:ascii="Calibri" w:hAnsi="Calibri"/>
                <w:b/>
                <w:i w:val="0"/>
                <w:color w:val="234C80"/>
                <w:sz w:val="17"/>
              </w:rPr>
              <w:t>Result</w:t>
            </w:r>
          </w:p>
        </w:tc>
        <w:tc>
          <w:tcPr>
            <w:tcW w:type="dxa" w:w="2400"/>
          </w:tcPr>
          <w:p>
            <w:r>
              <w:rPr>
                <w:rFonts w:ascii="Calibri" w:hAnsi="Calibri"/>
                <w:b w:val="0"/>
                <w:i w:val="0"/>
                <w:color w:val="163A63"/>
                <w:sz w:val="17"/>
              </w:rPr>
              <w:t>PASS / FAIL / N/A</w:t>
            </w:r>
          </w:p>
        </w:tc>
        <w:tc>
          <w:tcPr>
            <w:tcW w:type="dxa" w:w="1500"/>
            <w:shd w:fill="EAF3FF"/>
          </w:tcPr>
          <w:p>
            <w:r>
              <w:rPr>
                <w:rFonts w:ascii="Calibri" w:hAnsi="Calibri"/>
                <w:b/>
                <w:i w:val="0"/>
                <w:color w:val="234C80"/>
                <w:sz w:val="17"/>
              </w:rPr>
              <w:t>Tester</w:t>
            </w:r>
          </w:p>
        </w:tc>
        <w:tc>
          <w:tcPr>
            <w:tcW w:type="dxa" w:w="4260"/>
          </w:tcPr>
          <w:p>
            <w:r>
              <w:rPr>
                <w:rFonts w:ascii="Calibri" w:hAnsi="Calibri"/>
                <w:b w:val="0"/>
                <w:i w:val="0"/>
                <w:color w:val="163A63"/>
                <w:sz w:val="17"/>
              </w:rPr>
            </w:r>
          </w:p>
        </w:tc>
      </w:tr>
      <w:tr>
        <w:tc>
          <w:tcPr>
            <w:tcW w:type="dxa" w:w="1200"/>
            <w:shd w:fill="EAF3FF"/>
          </w:tcPr>
          <w:p>
            <w:r>
              <w:rPr>
                <w:rFonts w:ascii="Calibri" w:hAnsi="Calibri"/>
                <w:b/>
                <w:i w:val="0"/>
                <w:color w:val="234C80"/>
                <w:sz w:val="17"/>
              </w:rPr>
              <w:t>Date</w:t>
            </w:r>
          </w:p>
        </w:tc>
        <w:tc>
          <w:tcPr>
            <w:tcW w:type="dxa" w:w="2400"/>
          </w:tcPr>
          <w:p>
            <w:r>
              <w:rPr>
                <w:rFonts w:ascii="Calibri" w:hAnsi="Calibri"/>
                <w:b w:val="0"/>
                <w:i w:val="0"/>
                <w:color w:val="163A63"/>
                <w:sz w:val="17"/>
              </w:rPr>
            </w:r>
          </w:p>
        </w:tc>
        <w:tc>
          <w:tcPr>
            <w:tcW w:type="dxa" w:w="1500"/>
            <w:shd w:fill="EAF3FF"/>
          </w:tcPr>
          <w:p>
            <w:r>
              <w:rPr>
                <w:rFonts w:ascii="Calibri" w:hAnsi="Calibri"/>
                <w:b/>
                <w:i w:val="0"/>
                <w:color w:val="234C80"/>
                <w:sz w:val="17"/>
              </w:rPr>
              <w:t>Defect / notes</w:t>
            </w:r>
          </w:p>
        </w:tc>
        <w:tc>
          <w:tcPr>
            <w:tcW w:type="dxa" w:w="4260"/>
          </w:tcPr>
          <w:p>
            <w:r>
              <w:rPr>
                <w:rFonts w:ascii="Calibri" w:hAnsi="Calibri"/>
                <w:b w:val="0"/>
                <w:i w:val="0"/>
                <w:color w:val="163A63"/>
                <w:sz w:val="17"/>
              </w:rPr>
            </w:r>
          </w:p>
        </w:tc>
      </w:tr>
    </w:tbl>
    <w:p/>
    <w:p>
      <w:pPr>
        <w:pStyle w:val="Heading2"/>
      </w:pPr>
      <w:r>
        <w:t>TC-07 Focused linguistic and structural review</w:t>
      </w:r>
    </w:p>
    <w:tbl>
      <w:tblPr>
        <w:jc w:val="center"/>
        <w:tblLook w:firstColumn="1" w:firstRow="1" w:lastColumn="0" w:lastRow="0" w:noHBand="0" w:noVBand="1" w:val="04A0"/>
        <w:tblW w:w="9360" w:type="dxa"/>
        <w:tblInd w:w="120" w:type="dxa"/>
        <w:tblLayout w:type="fixed"/>
        <w:tblCellMar>
          <w:top w:w="80" w:type="dxa"/>
          <w:bottom w:w="80" w:type="dxa"/>
          <w:start w:w="120" w:type="dxa"/>
          <w:end w:w="120" w:type="dxa"/>
        </w:tblCellMar>
      </w:tblPr>
      <w:tblGrid>
        <w:gridCol w:w="9360"/>
      </w:tblGrid>
      <w:tr>
        <w:trPr>
          <w:cantSplit/>
          <w:tblHeader w:val="true"/>
        </w:trPr>
        <w:tc>
          <w:tcPr>
            <w:tcW w:type="dxa" w:w="9360"/>
            <w:shd w:fill="EAF3FF"/>
            <w:vAlign w:val="center"/>
          </w:tcPr>
          <w:p>
            <w:pPr>
              <w:pStyle w:val="Callout"/>
            </w:pPr>
            <w:r>
              <w:rPr>
                <w:b/>
                <w:color w:val="234C80"/>
              </w:rPr>
              <w:t xml:space="preserve">Objective. </w:t>
            </w:r>
            <w:r>
              <w:t>Verify review actions remain available without requiring every entry to be individually approved merely to create a draft.</w:t>
            </w:r>
          </w:p>
        </w:tc>
      </w:tr>
    </w:tbl>
    <w:p>
      <w:pPr>
        <w:pStyle w:val="Heading3"/>
      </w:pPr>
      <w:r>
        <w:t>Procedure</w:t>
      </w:r>
    </w:p>
    <w:p>
      <w:pPr>
        <w:pStyle w:val="ListNumber"/>
        <w:numPr>
          <w:ilvl w:val="0"/>
          <w:numId w:val="19"/>
        </w:numPr>
      </w:pPr>
      <w:r>
        <w:t>Review visible UI strings, product names, short buttons, multiline instructions, placeholders, and accelerators.</w:t>
      </w:r>
    </w:p>
    <w:p>
      <w:pPr>
        <w:pStyle w:val="ListNumber"/>
        <w:numPr>
          <w:ilvl w:val="0"/>
          <w:numId w:val="19"/>
        </w:numPr>
      </w:pPr>
      <w:r>
        <w:t>Correct a deliberately awkward machine result in Translated text and choose Apply Translation.</w:t>
      </w:r>
    </w:p>
    <w:p>
      <w:pPr>
        <w:pStyle w:val="ListNumber"/>
        <w:numPr>
          <w:ilvl w:val="0"/>
          <w:numId w:val="19"/>
        </w:numPr>
      </w:pPr>
      <w:r>
        <w:t>Mark that entry Reviewed, then Approve it.</w:t>
      </w:r>
    </w:p>
    <w:p>
      <w:pPr>
        <w:pStyle w:val="ListNumber"/>
        <w:numPr>
          <w:ilvl w:val="0"/>
          <w:numId w:val="19"/>
        </w:numPr>
      </w:pPr>
      <w:r>
        <w:t>For the remaining translated drafts, choose Review All, verify the count in the confirmation, and accept. Then choose Approve All, verify its Reviewed count, and accept.</w:t>
      </w:r>
    </w:p>
    <w:p>
      <w:pPr>
        <w:pStyle w:val="ListNumber"/>
        <w:numPr>
          <w:ilvl w:val="0"/>
          <w:numId w:val="19"/>
        </w:numPr>
      </w:pPr>
      <w:r>
        <w:t>If the catalog has a Pascal resourcestring, confirm its runtime classification and leave Manual TranslateText wiring confirmed clear unless the target code has actually been wired.</w:t>
      </w:r>
    </w:p>
    <w:p>
      <w:pPr>
        <w:pStyle w:val="Heading3"/>
      </w:pPr>
      <w:r>
        <w:t>Expected result</w:t>
      </w:r>
    </w:p>
    <w:p>
      <w:pPr>
        <w:pStyle w:val="ListBullet"/>
      </w:pPr>
      <w:r>
        <w:t>An edited entry records human origin and Edited status.</w:t>
      </w:r>
    </w:p>
    <w:p>
      <w:pPr>
        <w:pStyle w:val="ListBullet"/>
      </w:pPr>
      <w:r>
        <w:t>Reviewed and Approved are separate deliberate steps.</w:t>
      </w:r>
    </w:p>
    <w:p>
      <w:pPr>
        <w:pStyle w:val="ListBullet"/>
      </w:pPr>
      <w:r>
        <w:t>Each bulk action operates on its stated eligible set, saves once, and leaves Excluded, Obsolete, and already Approved entries unchanged.</w:t>
      </w:r>
    </w:p>
    <w:p>
      <w:pPr>
        <w:pStyle w:val="ListBullet"/>
      </w:pPr>
      <w:r>
        <w:t>Manual resourcestring wiring readiness remains separate from designer-property coverage.</w:t>
      </w:r>
    </w:p>
    <w:p>
      <w:pPr>
        <w:pStyle w:val="ListBullet"/>
      </w:pPr>
      <w:r>
        <w:t>The catalog is saved after edits when a catalog filename exists.</w:t>
      </w:r>
    </w:p>
    <w:tbl>
      <w:tblPr>
        <w:tblStyle w:val="TableGrid"/>
        <w:jc w:val="center"/>
        <w:tblLook w:firstColumn="1" w:firstRow="1" w:lastColumn="0" w:lastRow="0" w:noHBand="0" w:noVBand="1" w:val="04A0"/>
        <w:tblW w:w="9360" w:type="dxa"/>
        <w:tblInd w:w="120" w:type="dxa"/>
        <w:tblLayout w:type="fixed"/>
        <w:tblCellMar>
          <w:top w:w="80" w:type="dxa"/>
          <w:bottom w:w="80" w:type="dxa"/>
          <w:start w:w="120" w:type="dxa"/>
          <w:end w:w="120" w:type="dxa"/>
        </w:tblCellMar>
      </w:tblPr>
      <w:tblGrid>
        <w:gridCol w:w="1200"/>
        <w:gridCol w:w="2400"/>
        <w:gridCol w:w="1500"/>
        <w:gridCol w:w="4260"/>
      </w:tblGrid>
      <w:tr>
        <w:trPr>
          <w:tblHeader w:val="true"/>
        </w:trPr>
        <w:tc>
          <w:tcPr>
            <w:tcW w:type="dxa" w:w="1200"/>
            <w:shd w:fill="EAF3FF"/>
          </w:tcPr>
          <w:p>
            <w:r>
              <w:rPr>
                <w:rFonts w:ascii="Calibri" w:hAnsi="Calibri"/>
                <w:b/>
                <w:i w:val="0"/>
                <w:color w:val="234C80"/>
                <w:sz w:val="17"/>
              </w:rPr>
              <w:t>Result</w:t>
            </w:r>
          </w:p>
        </w:tc>
        <w:tc>
          <w:tcPr>
            <w:tcW w:type="dxa" w:w="2400"/>
          </w:tcPr>
          <w:p>
            <w:r>
              <w:rPr>
                <w:rFonts w:ascii="Calibri" w:hAnsi="Calibri"/>
                <w:b w:val="0"/>
                <w:i w:val="0"/>
                <w:color w:val="163A63"/>
                <w:sz w:val="17"/>
              </w:rPr>
              <w:t>PASS / FAIL / N/A</w:t>
            </w:r>
          </w:p>
        </w:tc>
        <w:tc>
          <w:tcPr>
            <w:tcW w:type="dxa" w:w="1500"/>
            <w:shd w:fill="EAF3FF"/>
          </w:tcPr>
          <w:p>
            <w:r>
              <w:rPr>
                <w:rFonts w:ascii="Calibri" w:hAnsi="Calibri"/>
                <w:b/>
                <w:i w:val="0"/>
                <w:color w:val="234C80"/>
                <w:sz w:val="17"/>
              </w:rPr>
              <w:t>Tester</w:t>
            </w:r>
          </w:p>
        </w:tc>
        <w:tc>
          <w:tcPr>
            <w:tcW w:type="dxa" w:w="4260"/>
          </w:tcPr>
          <w:p>
            <w:r>
              <w:rPr>
                <w:rFonts w:ascii="Calibri" w:hAnsi="Calibri"/>
                <w:b w:val="0"/>
                <w:i w:val="0"/>
                <w:color w:val="163A63"/>
                <w:sz w:val="17"/>
              </w:rPr>
            </w:r>
          </w:p>
        </w:tc>
      </w:tr>
      <w:tr>
        <w:tc>
          <w:tcPr>
            <w:tcW w:type="dxa" w:w="1200"/>
            <w:shd w:fill="EAF3FF"/>
          </w:tcPr>
          <w:p>
            <w:r>
              <w:rPr>
                <w:rFonts w:ascii="Calibri" w:hAnsi="Calibri"/>
                <w:b/>
                <w:i w:val="0"/>
                <w:color w:val="234C80"/>
                <w:sz w:val="17"/>
              </w:rPr>
              <w:t>Date</w:t>
            </w:r>
          </w:p>
        </w:tc>
        <w:tc>
          <w:tcPr>
            <w:tcW w:type="dxa" w:w="2400"/>
          </w:tcPr>
          <w:p>
            <w:r>
              <w:rPr>
                <w:rFonts w:ascii="Calibri" w:hAnsi="Calibri"/>
                <w:b w:val="0"/>
                <w:i w:val="0"/>
                <w:color w:val="163A63"/>
                <w:sz w:val="17"/>
              </w:rPr>
            </w:r>
          </w:p>
        </w:tc>
        <w:tc>
          <w:tcPr>
            <w:tcW w:type="dxa" w:w="1500"/>
            <w:shd w:fill="EAF3FF"/>
          </w:tcPr>
          <w:p>
            <w:r>
              <w:rPr>
                <w:rFonts w:ascii="Calibri" w:hAnsi="Calibri"/>
                <w:b/>
                <w:i w:val="0"/>
                <w:color w:val="234C80"/>
                <w:sz w:val="17"/>
              </w:rPr>
              <w:t>Defect / notes</w:t>
            </w:r>
          </w:p>
        </w:tc>
        <w:tc>
          <w:tcPr>
            <w:tcW w:type="dxa" w:w="4260"/>
          </w:tcPr>
          <w:p>
            <w:r>
              <w:rPr>
                <w:rFonts w:ascii="Calibri" w:hAnsi="Calibri"/>
                <w:b w:val="0"/>
                <w:i w:val="0"/>
                <w:color w:val="163A63"/>
                <w:sz w:val="17"/>
              </w:rPr>
            </w:r>
          </w:p>
        </w:tc>
      </w:tr>
    </w:tbl>
    <w:p/>
    <w:p>
      <w:pPr>
        <w:pStyle w:val="Heading2"/>
      </w:pPr>
      <w:r>
        <w:t>TC-08 Validate and export runtime JSON</w:t>
      </w:r>
    </w:p>
    <w:tbl>
      <w:tblPr>
        <w:jc w:val="center"/>
        <w:tblLook w:firstColumn="1" w:firstRow="1" w:lastColumn="0" w:lastRow="0" w:noHBand="0" w:noVBand="1" w:val="04A0"/>
        <w:tblW w:w="9360" w:type="dxa"/>
        <w:tblInd w:w="120" w:type="dxa"/>
        <w:tblLayout w:type="fixed"/>
        <w:tblCellMar>
          <w:top w:w="80" w:type="dxa"/>
          <w:bottom w:w="80" w:type="dxa"/>
          <w:start w:w="120" w:type="dxa"/>
          <w:end w:w="120" w:type="dxa"/>
        </w:tblCellMar>
      </w:tblPr>
      <w:tblGrid>
        <w:gridCol w:w="9360"/>
      </w:tblGrid>
      <w:tr>
        <w:trPr>
          <w:cantSplit/>
          <w:tblHeader w:val="true"/>
        </w:trPr>
        <w:tc>
          <w:tcPr>
            <w:tcW w:type="dxa" w:w="9360"/>
            <w:shd w:fill="EAF3FF"/>
            <w:vAlign w:val="center"/>
          </w:tcPr>
          <w:p>
            <w:pPr>
              <w:pStyle w:val="Callout"/>
            </w:pPr>
            <w:r>
              <w:rPr>
                <w:b/>
                <w:color w:val="234C80"/>
              </w:rPr>
              <w:t xml:space="preserve">Objective. </w:t>
            </w:r>
            <w:r>
              <w:t>Verify structural defects block export and a valid catalog produces a compact offline pack.</w:t>
            </w:r>
          </w:p>
        </w:tc>
      </w:tr>
    </w:tbl>
    <w:p>
      <w:pPr>
        <w:pStyle w:val="Heading3"/>
      </w:pPr>
      <w:r>
        <w:t>Procedure</w:t>
      </w:r>
    </w:p>
    <w:p>
      <w:pPr>
        <w:pStyle w:val="ListNumber"/>
        <w:numPr>
          <w:ilvl w:val="0"/>
          <w:numId w:val="20"/>
        </w:numPr>
      </w:pPr>
      <w:r>
        <w:t>Select Validation and choose Run Validation.</w:t>
      </w:r>
    </w:p>
    <w:p>
      <w:pPr>
        <w:pStyle w:val="ListNumber"/>
        <w:numPr>
          <w:ilvl w:val="0"/>
          <w:numId w:val="20"/>
        </w:numPr>
      </w:pPr>
      <w:r>
        <w:t>Read the plain-language summary. Double-click an entry-specific warning and confirm Translate opens with that entry selected.</w:t>
      </w:r>
    </w:p>
    <w:p>
      <w:pPr>
        <w:pStyle w:val="ListNumber"/>
        <w:numPr>
          <w:ilvl w:val="0"/>
          <w:numId w:val="20"/>
        </w:numPr>
      </w:pPr>
      <w:r>
        <w:t>Resolve all errors involving missing text, duplicate keys, changed source, placeholders, sequential/indexed Format arguments, or accelerator keys. Review warnings; informational runtime placeholders require no action.</w:t>
      </w:r>
    </w:p>
    <w:p>
      <w:pPr>
        <w:pStyle w:val="ListNumber"/>
        <w:numPr>
          <w:ilvl w:val="0"/>
          <w:numId w:val="20"/>
        </w:numPr>
      </w:pPr>
      <w:r>
        <w:t>Treat manual resourcestring wiring as a separate readiness warning and resolve it before claiming complete runtime coverage.</w:t>
      </w:r>
    </w:p>
    <w:p>
      <w:pPr>
        <w:pStyle w:val="ListNumber"/>
        <w:numPr>
          <w:ilvl w:val="0"/>
          <w:numId w:val="20"/>
        </w:numPr>
      </w:pPr>
      <w:r>
        <w:t>Select Export and choose Export Runtime Pack.</w:t>
      </w:r>
    </w:p>
    <w:p>
      <w:pPr>
        <w:pStyle w:val="ListNumber"/>
        <w:numPr>
          <w:ilvl w:val="0"/>
          <w:numId w:val="20"/>
        </w:numPr>
      </w:pPr>
      <w:r>
        <w:t>Open the displayed output file and confirm it is JSON.</w:t>
      </w:r>
    </w:p>
    <w:p>
      <w:pPr>
        <w:pStyle w:val="Heading3"/>
      </w:pPr>
      <w:r>
        <w:t>Expected result</w:t>
      </w:r>
    </w:p>
    <w:p>
      <w:pPr>
        <w:pStyle w:val="ListBullet"/>
      </w:pPr>
      <w:r>
        <w:t>Export is blocked while validation errors exist.</w:t>
      </w:r>
    </w:p>
    <w:p>
      <w:pPr>
        <w:pStyle w:val="ListBullet"/>
      </w:pPr>
      <w:r>
        <w:t>A valid catalog reports that the runtime pack is ready.</w:t>
      </w:r>
    </w:p>
    <w:p>
      <w:pPr>
        <w:pStyle w:val="ListBullet"/>
      </w:pPr>
      <w:r>
        <w:t>Runtime path: C:\DelphiProjects\FMXPilot - Component Test\Localization\Languages\&lt;locale&gt;.json.</w:t>
      </w:r>
    </w:p>
    <w:p>
      <w:pPr>
        <w:pStyle w:val="ListBullet"/>
      </w:pPr>
      <w:r>
        <w:t>The runtime pack is smaller than the development catalog and contains no API key or development history.</w:t>
      </w:r>
    </w:p>
    <w:tbl>
      <w:tblPr>
        <w:tblStyle w:val="TableGrid"/>
        <w:jc w:val="center"/>
        <w:tblLook w:firstColumn="1" w:firstRow="1" w:lastColumn="0" w:lastRow="0" w:noHBand="0" w:noVBand="1" w:val="04A0"/>
        <w:tblW w:w="9360" w:type="dxa"/>
        <w:tblInd w:w="120" w:type="dxa"/>
        <w:tblLayout w:type="fixed"/>
        <w:tblCellMar>
          <w:top w:w="80" w:type="dxa"/>
          <w:bottom w:w="80" w:type="dxa"/>
          <w:start w:w="120" w:type="dxa"/>
          <w:end w:w="120" w:type="dxa"/>
        </w:tblCellMar>
      </w:tblPr>
      <w:tblGrid>
        <w:gridCol w:w="1200"/>
        <w:gridCol w:w="2400"/>
        <w:gridCol w:w="1500"/>
        <w:gridCol w:w="4260"/>
      </w:tblGrid>
      <w:tr>
        <w:trPr>
          <w:tblHeader w:val="true"/>
        </w:trPr>
        <w:tc>
          <w:tcPr>
            <w:tcW w:type="dxa" w:w="1200"/>
            <w:shd w:fill="EAF3FF"/>
          </w:tcPr>
          <w:p>
            <w:r>
              <w:rPr>
                <w:rFonts w:ascii="Calibri" w:hAnsi="Calibri"/>
                <w:b/>
                <w:i w:val="0"/>
                <w:color w:val="234C80"/>
                <w:sz w:val="17"/>
              </w:rPr>
              <w:t>Result</w:t>
            </w:r>
          </w:p>
        </w:tc>
        <w:tc>
          <w:tcPr>
            <w:tcW w:type="dxa" w:w="2400"/>
          </w:tcPr>
          <w:p>
            <w:r>
              <w:rPr>
                <w:rFonts w:ascii="Calibri" w:hAnsi="Calibri"/>
                <w:b w:val="0"/>
                <w:i w:val="0"/>
                <w:color w:val="163A63"/>
                <w:sz w:val="17"/>
              </w:rPr>
              <w:t>PASS / FAIL / N/A</w:t>
            </w:r>
          </w:p>
        </w:tc>
        <w:tc>
          <w:tcPr>
            <w:tcW w:type="dxa" w:w="1500"/>
            <w:shd w:fill="EAF3FF"/>
          </w:tcPr>
          <w:p>
            <w:r>
              <w:rPr>
                <w:rFonts w:ascii="Calibri" w:hAnsi="Calibri"/>
                <w:b/>
                <w:i w:val="0"/>
                <w:color w:val="234C80"/>
                <w:sz w:val="17"/>
              </w:rPr>
              <w:t>Tester</w:t>
            </w:r>
          </w:p>
        </w:tc>
        <w:tc>
          <w:tcPr>
            <w:tcW w:type="dxa" w:w="4260"/>
          </w:tcPr>
          <w:p>
            <w:r>
              <w:rPr>
                <w:rFonts w:ascii="Calibri" w:hAnsi="Calibri"/>
                <w:b w:val="0"/>
                <w:i w:val="0"/>
                <w:color w:val="163A63"/>
                <w:sz w:val="17"/>
              </w:rPr>
            </w:r>
          </w:p>
        </w:tc>
      </w:tr>
      <w:tr>
        <w:tc>
          <w:tcPr>
            <w:tcW w:type="dxa" w:w="1200"/>
            <w:shd w:fill="EAF3FF"/>
          </w:tcPr>
          <w:p>
            <w:r>
              <w:rPr>
                <w:rFonts w:ascii="Calibri" w:hAnsi="Calibri"/>
                <w:b/>
                <w:i w:val="0"/>
                <w:color w:val="234C80"/>
                <w:sz w:val="17"/>
              </w:rPr>
              <w:t>Date</w:t>
            </w:r>
          </w:p>
        </w:tc>
        <w:tc>
          <w:tcPr>
            <w:tcW w:type="dxa" w:w="2400"/>
          </w:tcPr>
          <w:p>
            <w:r>
              <w:rPr>
                <w:rFonts w:ascii="Calibri" w:hAnsi="Calibri"/>
                <w:b w:val="0"/>
                <w:i w:val="0"/>
                <w:color w:val="163A63"/>
                <w:sz w:val="17"/>
              </w:rPr>
            </w:r>
          </w:p>
        </w:tc>
        <w:tc>
          <w:tcPr>
            <w:tcW w:type="dxa" w:w="1500"/>
            <w:shd w:fill="EAF3FF"/>
          </w:tcPr>
          <w:p>
            <w:r>
              <w:rPr>
                <w:rFonts w:ascii="Calibri" w:hAnsi="Calibri"/>
                <w:b/>
                <w:i w:val="0"/>
                <w:color w:val="234C80"/>
                <w:sz w:val="17"/>
              </w:rPr>
              <w:t>Defect / notes</w:t>
            </w:r>
          </w:p>
        </w:tc>
        <w:tc>
          <w:tcPr>
            <w:tcW w:type="dxa" w:w="4260"/>
          </w:tcPr>
          <w:p>
            <w:r>
              <w:rPr>
                <w:rFonts w:ascii="Calibri" w:hAnsi="Calibri"/>
                <w:b w:val="0"/>
                <w:i w:val="0"/>
                <w:color w:val="163A63"/>
                <w:sz w:val="17"/>
              </w:rPr>
            </w:r>
          </w:p>
        </w:tc>
      </w:tr>
    </w:tbl>
    <w:p/>
    <w:p>
      <w:pPr>
        <w:pStyle w:val="Heading2"/>
      </w:pPr>
      <w:r>
        <w:t>TC-08A Incremental rescan after a saved UI change</w:t>
      </w:r>
    </w:p>
    <w:tbl>
      <w:tblPr>
        <w:jc w:val="center"/>
        <w:tblLook w:firstColumn="1" w:firstRow="1" w:lastColumn="0" w:lastRow="0" w:noHBand="0" w:noVBand="1" w:val="04A0"/>
        <w:tblW w:w="9360" w:type="dxa"/>
        <w:tblInd w:w="120" w:type="dxa"/>
        <w:tblLayout w:type="fixed"/>
        <w:tblCellMar>
          <w:top w:w="80" w:type="dxa"/>
          <w:bottom w:w="80" w:type="dxa"/>
          <w:start w:w="120" w:type="dxa"/>
          <w:end w:w="120" w:type="dxa"/>
        </w:tblCellMar>
      </w:tblPr>
      <w:tblGrid>
        <w:gridCol w:w="9360"/>
      </w:tblGrid>
      <w:tr>
        <w:trPr>
          <w:cantSplit/>
          <w:tblHeader w:val="true"/>
        </w:trPr>
        <w:tc>
          <w:tcPr>
            <w:tcW w:type="dxa" w:w="9360"/>
            <w:shd w:fill="EAF3FF"/>
            <w:vAlign w:val="center"/>
          </w:tcPr>
          <w:p>
            <w:pPr>
              <w:pStyle w:val="Callout"/>
            </w:pPr>
            <w:r>
              <w:rPr>
                <w:b/>
                <w:color w:val="234C80"/>
              </w:rPr>
              <w:t xml:space="preserve">Objective. </w:t>
            </w:r>
            <w:r>
              <w:t>Prove that a normal Delphi form change enters the existing catalog without discarding completed translations, and that stale scan results cannot be exported.</w:t>
            </w:r>
          </w:p>
        </w:tc>
      </w:tr>
    </w:tbl>
    <w:p>
      <w:pPr>
        <w:pStyle w:val="Heading3"/>
      </w:pPr>
      <w:r>
        <w:t>Procedure</w:t>
      </w:r>
    </w:p>
    <w:p>
      <w:pPr>
        <w:pStyle w:val="ListNumber"/>
        <w:numPr>
          <w:ilvl w:val="0"/>
          <w:numId w:val="21"/>
        </w:numPr>
      </w:pPr>
      <w:r>
        <w:t>In the disposable target project, add a clearly named test label such as lblLocalizationRetest with the source text Localization update test:, or deliberately revise an existing test caption.</w:t>
      </w:r>
    </w:p>
    <w:p>
      <w:pPr>
        <w:pStyle w:val="ListNumber"/>
        <w:numPr>
          <w:ilvl w:val="0"/>
          <w:numId w:val="21"/>
        </w:numPr>
      </w:pPr>
      <w:r>
        <w:t>Choose File &gt; Save All in RAD Studio. The scanner reads the saved DFM/FMX and Pascal files; an edit that exists only in the IDE buffer cannot be scanned.</w:t>
      </w:r>
    </w:p>
    <w:p>
      <w:pPr>
        <w:pStyle w:val="ListNumber"/>
        <w:numPr>
          <w:ilvl w:val="0"/>
          <w:numId w:val="21"/>
        </w:numPr>
      </w:pPr>
      <w:r>
        <w:t>Return to the same Studio project and target-language catalog, then choose Scan Project again.</w:t>
      </w:r>
    </w:p>
    <w:p>
      <w:pPr>
        <w:pStyle w:val="ListNumber"/>
        <w:numPr>
          <w:ilvl w:val="0"/>
          <w:numId w:val="21"/>
        </w:numPr>
      </w:pPr>
      <w:r>
        <w:t>Confirm the summary reports the new or changed entry. If a component was renamed, confirm its previous stable key is retained as Obsolete and its new key is added.</w:t>
      </w:r>
    </w:p>
    <w:p>
      <w:pPr>
        <w:pStyle w:val="ListNumber"/>
        <w:numPr>
          <w:ilvl w:val="0"/>
          <w:numId w:val="21"/>
        </w:numPr>
      </w:pPr>
      <w:r>
        <w:t>Choose Translate Automatically. Confirm that the prompt counts only eligible new, changed, or otherwise unresolved entries—not every entry in the catalog.</w:t>
      </w:r>
    </w:p>
    <w:p>
      <w:pPr>
        <w:pStyle w:val="ListNumber"/>
        <w:numPr>
          <w:ilvl w:val="0"/>
          <w:numId w:val="21"/>
        </w:numPr>
      </w:pPr>
      <w:r>
        <w:t>Run Validation, then export the runtime pack. Confirm the new stable key is present in the runtime JSON.</w:t>
      </w:r>
    </w:p>
    <w:p>
      <w:pPr>
        <w:pStyle w:val="ListNumber"/>
        <w:numPr>
          <w:ilvl w:val="0"/>
          <w:numId w:val="21"/>
        </w:numPr>
      </w:pPr>
      <w:r>
        <w:t>For the stale-scan guard, save one more harmless target text change after the scan and attempt validation/export without rescanning. Confirm final processing is blocked because target source was saved after the last scan.</w:t>
      </w:r>
    </w:p>
    <w:p>
      <w:pPr>
        <w:pStyle w:val="ListNumber"/>
        <w:numPr>
          <w:ilvl w:val="0"/>
          <w:numId w:val="21"/>
        </w:numPr>
      </w:pPr>
      <w:r>
        <w:t>Rescan, translate the newly unresolved entry, validate, export, rebuild the target, deploy the packs, and verify the changed control in both source and target languages.</w:t>
      </w:r>
    </w:p>
    <w:p>
      <w:pPr>
        <w:pStyle w:val="Heading3"/>
      </w:pPr>
      <w:r>
        <w:t>Expected result</w:t>
      </w:r>
    </w:p>
    <w:p>
      <w:pPr>
        <w:pStyle w:val="ListBullet"/>
      </w:pPr>
      <w:r>
        <w:t>Matching Reviewed and Approved translations remain unchanged.</w:t>
      </w:r>
    </w:p>
    <w:p>
      <w:pPr>
        <w:pStyle w:val="ListBullet"/>
      </w:pPr>
      <w:r>
        <w:t>Only new, changed, or unresolved eligible text is sent to the provider.</w:t>
      </w:r>
    </w:p>
    <w:p>
      <w:pPr>
        <w:pStyle w:val="ListBullet"/>
      </w:pPr>
      <w:r>
        <w:t>Removed or renamed component keys remain traceable as Obsolete rather than silently disappearing.</w:t>
      </w:r>
    </w:p>
    <w:p>
      <w:pPr>
        <w:pStyle w:val="ListBullet"/>
      </w:pPr>
      <w:r>
        <w:t>Saving target source after the scan invalidates that scan and prevents an outdated runtime pack from being exported.</w:t>
      </w:r>
    </w:p>
    <w:p>
      <w:pPr>
        <w:pStyle w:val="ListBullet"/>
      </w:pPr>
      <w:r>
        <w:t>The Studio does not change the target form; the only target modification is the deliberate Form Designer change made by the tester.</w:t>
      </w:r>
    </w:p>
    <w:tbl>
      <w:tblPr>
        <w:tblStyle w:val="TableGrid"/>
        <w:jc w:val="center"/>
        <w:tblLook w:firstColumn="1" w:firstRow="1" w:lastColumn="0" w:lastRow="0" w:noHBand="0" w:noVBand="1" w:val="04A0"/>
        <w:tblW w:w="9360" w:type="dxa"/>
        <w:tblInd w:w="120" w:type="dxa"/>
        <w:tblLayout w:type="fixed"/>
        <w:tblCellMar>
          <w:top w:w="80" w:type="dxa"/>
          <w:bottom w:w="80" w:type="dxa"/>
          <w:start w:w="120" w:type="dxa"/>
          <w:end w:w="120" w:type="dxa"/>
        </w:tblCellMar>
      </w:tblPr>
      <w:tblGrid>
        <w:gridCol w:w="1200"/>
        <w:gridCol w:w="2400"/>
        <w:gridCol w:w="1500"/>
        <w:gridCol w:w="4260"/>
      </w:tblGrid>
      <w:tr>
        <w:trPr>
          <w:tblHeader w:val="true"/>
        </w:trPr>
        <w:tc>
          <w:tcPr>
            <w:tcW w:type="dxa" w:w="1200"/>
            <w:shd w:fill="EAF3FF"/>
          </w:tcPr>
          <w:p>
            <w:r>
              <w:rPr>
                <w:rFonts w:ascii="Calibri" w:hAnsi="Calibri"/>
                <w:b/>
                <w:i w:val="0"/>
                <w:color w:val="234C80"/>
                <w:sz w:val="17"/>
              </w:rPr>
              <w:t>Result</w:t>
            </w:r>
          </w:p>
        </w:tc>
        <w:tc>
          <w:tcPr>
            <w:tcW w:type="dxa" w:w="2400"/>
          </w:tcPr>
          <w:p>
            <w:r>
              <w:rPr>
                <w:rFonts w:ascii="Calibri" w:hAnsi="Calibri"/>
                <w:b w:val="0"/>
                <w:i w:val="0"/>
                <w:color w:val="163A63"/>
                <w:sz w:val="17"/>
              </w:rPr>
              <w:t>PASS / FAIL / N/A</w:t>
            </w:r>
          </w:p>
        </w:tc>
        <w:tc>
          <w:tcPr>
            <w:tcW w:type="dxa" w:w="1500"/>
            <w:shd w:fill="EAF3FF"/>
          </w:tcPr>
          <w:p>
            <w:r>
              <w:rPr>
                <w:rFonts w:ascii="Calibri" w:hAnsi="Calibri"/>
                <w:b/>
                <w:i w:val="0"/>
                <w:color w:val="234C80"/>
                <w:sz w:val="17"/>
              </w:rPr>
              <w:t>Tester</w:t>
            </w:r>
          </w:p>
        </w:tc>
        <w:tc>
          <w:tcPr>
            <w:tcW w:type="dxa" w:w="4260"/>
          </w:tcPr>
          <w:p>
            <w:r>
              <w:rPr>
                <w:rFonts w:ascii="Calibri" w:hAnsi="Calibri"/>
                <w:b w:val="0"/>
                <w:i w:val="0"/>
                <w:color w:val="163A63"/>
                <w:sz w:val="17"/>
              </w:rPr>
            </w:r>
          </w:p>
        </w:tc>
      </w:tr>
      <w:tr>
        <w:tc>
          <w:tcPr>
            <w:tcW w:type="dxa" w:w="1200"/>
            <w:shd w:fill="EAF3FF"/>
          </w:tcPr>
          <w:p>
            <w:r>
              <w:rPr>
                <w:rFonts w:ascii="Calibri" w:hAnsi="Calibri"/>
                <w:b/>
                <w:i w:val="0"/>
                <w:color w:val="234C80"/>
                <w:sz w:val="17"/>
              </w:rPr>
              <w:t>Date</w:t>
            </w:r>
          </w:p>
        </w:tc>
        <w:tc>
          <w:tcPr>
            <w:tcW w:type="dxa" w:w="2400"/>
          </w:tcPr>
          <w:p>
            <w:r>
              <w:rPr>
                <w:rFonts w:ascii="Calibri" w:hAnsi="Calibri"/>
                <w:b w:val="0"/>
                <w:i w:val="0"/>
                <w:color w:val="163A63"/>
                <w:sz w:val="17"/>
              </w:rPr>
            </w:r>
          </w:p>
        </w:tc>
        <w:tc>
          <w:tcPr>
            <w:tcW w:type="dxa" w:w="1500"/>
            <w:shd w:fill="EAF3FF"/>
          </w:tcPr>
          <w:p>
            <w:r>
              <w:rPr>
                <w:rFonts w:ascii="Calibri" w:hAnsi="Calibri"/>
                <w:b/>
                <w:i w:val="0"/>
                <w:color w:val="234C80"/>
                <w:sz w:val="17"/>
              </w:rPr>
              <w:t>Defect / notes</w:t>
            </w:r>
          </w:p>
        </w:tc>
        <w:tc>
          <w:tcPr>
            <w:tcW w:type="dxa" w:w="4260"/>
          </w:tcPr>
          <w:p>
            <w:r>
              <w:rPr>
                <w:rFonts w:ascii="Calibri" w:hAnsi="Calibri"/>
                <w:b w:val="0"/>
                <w:i w:val="0"/>
                <w:color w:val="163A63"/>
                <w:sz w:val="17"/>
              </w:rPr>
            </w:r>
          </w:p>
        </w:tc>
      </w:tr>
    </w:tbl>
    <w:p/>
    <w:p>
      <w:r>
        <w:br w:type="page"/>
      </w:r>
    </w:p>
    <w:p>
      <w:pPr>
        <w:pStyle w:val="Heading1"/>
      </w:pPr>
      <w:r>
        <w:t>7. Component Integration Acceptance</w:t>
      </w:r>
    </w:p>
    <w:p>
      <w:pPr>
        <w:pStyle w:val="Heading2"/>
      </w:pPr>
      <w:r>
        <w:t>TC-09 Prepare the verified project-local dependencies</w:t>
      </w:r>
    </w:p>
    <w:tbl>
      <w:tblPr>
        <w:jc w:val="center"/>
        <w:tblLook w:firstColumn="1" w:firstRow="1" w:lastColumn="0" w:lastRow="0" w:noHBand="0" w:noVBand="1" w:val="04A0"/>
        <w:tblW w:w="9360" w:type="dxa"/>
        <w:tblInd w:w="120" w:type="dxa"/>
        <w:tblLayout w:type="fixed"/>
        <w:tblCellMar>
          <w:top w:w="80" w:type="dxa"/>
          <w:bottom w:w="80" w:type="dxa"/>
          <w:start w:w="120" w:type="dxa"/>
          <w:end w:w="120" w:type="dxa"/>
        </w:tblCellMar>
      </w:tblPr>
      <w:tblGrid>
        <w:gridCol w:w="9360"/>
      </w:tblGrid>
      <w:tr>
        <w:trPr>
          <w:cantSplit/>
          <w:tblHeader w:val="true"/>
        </w:trPr>
        <w:tc>
          <w:tcPr>
            <w:tcW w:type="dxa" w:w="9360"/>
            <w:shd w:fill="EAF3FF"/>
            <w:vAlign w:val="center"/>
          </w:tcPr>
          <w:p>
            <w:pPr>
              <w:pStyle w:val="Callout"/>
            </w:pPr>
            <w:r>
              <w:rPr>
                <w:b/>
                <w:color w:val="234C80"/>
              </w:rPr>
              <w:t xml:space="preserve">Objective. </w:t>
            </w:r>
            <w:r>
              <w:t>Verify the recommended mode creates the component kit, atomically installs one managed dependency tree, performs the baseline build/deployment, and leaves every target project/source/form file unchanged.</w:t>
            </w:r>
          </w:p>
        </w:tc>
      </w:tr>
    </w:tbl>
    <w:p>
      <w:pPr>
        <w:pStyle w:val="Heading3"/>
      </w:pPr>
      <w:r>
        <w:t>Procedure</w:t>
      </w:r>
    </w:p>
    <w:p>
      <w:pPr>
        <w:pStyle w:val="ListNumber"/>
        <w:numPr>
          <w:ilvl w:val="0"/>
          <w:numId w:val="22"/>
        </w:numPr>
      </w:pPr>
      <w:r>
        <w:t>Before preparation, run git -C "C:\DelphiProjects\FMXPilot - Component Test" status --short and record the expected Localization files. Also record the SHA-256 hash of FMXPilot.dproj.</w:t>
      </w:r>
    </w:p>
    <w:p>
      <w:pPr>
        <w:pStyle w:val="ListNumber"/>
        <w:numPr>
          <w:ilvl w:val="0"/>
          <w:numId w:val="22"/>
        </w:numPr>
      </w:pPr>
      <w:r>
        <w:t>Select Integration and leave Component Integration (Recommended) selected.</w:t>
      </w:r>
    </w:p>
    <w:p>
      <w:pPr>
        <w:pStyle w:val="ListNumber"/>
        <w:numPr>
          <w:ilvl w:val="0"/>
          <w:numId w:val="22"/>
        </w:numPr>
      </w:pPr>
      <w:r>
        <w:t>Choose Build Integration Plan.</w:t>
      </w:r>
    </w:p>
    <w:p>
      <w:pPr>
        <w:pStyle w:val="ListNumber"/>
        <w:numPr>
          <w:ilvl w:val="0"/>
          <w:numId w:val="22"/>
        </w:numPr>
      </w:pPr>
      <w:r>
        <w:t>Read the setup plan and choose Prepare / Update Dependencies.</w:t>
      </w:r>
    </w:p>
    <w:p>
      <w:pPr>
        <w:pStyle w:val="ListNumber"/>
        <w:numPr>
          <w:ilvl w:val="0"/>
          <w:numId w:val="22"/>
        </w:numPr>
      </w:pPr>
      <w:r>
        <w:t>Select generated filenames in the left pane and inspect their text in the right pane.</w:t>
      </w:r>
    </w:p>
    <w:p>
      <w:pPr>
        <w:pStyle w:val="ListNumber"/>
        <w:numPr>
          <w:ilvl w:val="0"/>
          <w:numId w:val="22"/>
        </w:numPr>
      </w:pPr>
      <w:r>
        <w:t>Confirm dependencies\DelphiAppTranslation contains source, deployment\Languages, integration-manifest.json, and integrity-sha256.json.</w:t>
      </w:r>
    </w:p>
    <w:p>
      <w:pPr>
        <w:pStyle w:val="ListNumber"/>
        <w:numPr>
          <w:ilvl w:val="0"/>
          <w:numId w:val="22"/>
        </w:numPr>
      </w:pPr>
      <w:r>
        <w:t>Confirm the status reports a baseline Release build using a temporary DAT dependency Search Path and direct pack deployment, or records a specific build error without undoing the valid dependency preparation.</w:t>
      </w:r>
    </w:p>
    <w:p>
      <w:pPr>
        <w:pStyle w:val="ListNumber"/>
        <w:numPr>
          <w:ilvl w:val="0"/>
          <w:numId w:val="22"/>
        </w:numPr>
      </w:pPr>
      <w:r>
        <w:t>Run git -C "C:\DelphiProjects\FMXPilot - Component Test" status --short again. Confirm the only new integration area is dependencies\DelphiAppTranslation, plus expected generated Localization data.</w:t>
      </w:r>
    </w:p>
    <w:p>
      <w:pPr>
        <w:pStyle w:val="ListNumber"/>
        <w:numPr>
          <w:ilvl w:val="0"/>
          <w:numId w:val="22"/>
        </w:numPr>
      </w:pPr>
      <w:r>
        <w:t>Recalculate the FMXPilot.dproj hash and confirm it is identical to the pre-preparation value.</w:t>
      </w:r>
    </w:p>
    <w:p>
      <w:pPr>
        <w:pStyle w:val="ListNumber"/>
        <w:numPr>
          <w:ilvl w:val="0"/>
          <w:numId w:val="22"/>
        </w:numPr>
      </w:pPr>
      <w:r>
        <w:t>Choose Prepare / Update Dependencies a second time. Confirm it refreshes the same managed folder and does not create a second dependency tree or duplicate Search Path entry.</w:t>
      </w:r>
    </w:p>
    <w:p>
      <w:pPr>
        <w:pStyle w:val="Heading3"/>
      </w:pPr>
      <w:r>
        <w:t>Expected result</w:t>
      </w:r>
    </w:p>
    <w:p>
      <w:pPr>
        <w:pStyle w:val="ListBullet"/>
      </w:pPr>
      <w:r>
        <w:t>Kit root: C:\DelphiProjects\Delphi App Translation\export\component-integration\FMXPilot.</w:t>
      </w:r>
    </w:p>
    <w:p>
      <w:pPr>
        <w:pStyle w:val="ListBullet"/>
      </w:pPr>
      <w:r>
        <w:t>The kit contains README.txt, component-integration.json, Deploy-LanguagePacks.ps1, ComponentSource, and Localization\Languages.</w:t>
      </w:r>
    </w:p>
    <w:p>
      <w:pPr>
        <w:pStyle w:val="ListBullet"/>
      </w:pPr>
      <w:r>
        <w:t>The replaceable per-project kit contains no DelphiPackages folder, no BPL, and no automatic installer. Delphi's registered package comes from the Studio's stable bin\packages\Win32\Release folder.</w:t>
      </w:r>
    </w:p>
    <w:p>
      <w:pPr>
        <w:pStyle w:val="ListBullet"/>
      </w:pPr>
      <w:r>
        <w:t>The language folder contains the validated target pack plus an automatically generated en-US.json source pack.</w:t>
      </w:r>
    </w:p>
    <w:p>
      <w:pPr>
        <w:pStyle w:val="ListBullet"/>
      </w:pPr>
      <w:r>
        <w:t>Managed dependency root: &lt;Target&gt;\dependencies\DelphiAppTranslation. It contains the complete verified unit closure and canonical language packs.</w:t>
      </w:r>
    </w:p>
    <w:p>
      <w:pPr>
        <w:pStyle w:val="ListBullet"/>
      </w:pPr>
      <w:r>
        <w:t>Target Pascal, DPR, DPROJ, DFM, and FMX hashes are unchanged. No .targets file or project import is created.</w:t>
      </w:r>
    </w:p>
    <w:p>
      <w:pPr>
        <w:pStyle w:val="ListBullet"/>
      </w:pPr>
      <w:r>
        <w:t>The second run replaces the one managed dependency set atomically rather than nesting or duplicating it.</w:t>
      </w:r>
    </w:p>
    <w:p>
      <w:pPr>
        <w:pStyle w:val="ListBullet"/>
      </w:pPr>
      <w:r>
        <w:t>Apply, Restore, Complete Reset, and source-authorization controls remain unavailable in recommended mode.</w:t>
      </w:r>
    </w:p>
    <w:tbl>
      <w:tblPr>
        <w:tblStyle w:val="TableGrid"/>
        <w:jc w:val="center"/>
        <w:tblLook w:firstColumn="1" w:firstRow="1" w:lastColumn="0" w:lastRow="0" w:noHBand="0" w:noVBand="1" w:val="04A0"/>
        <w:tblW w:w="9360" w:type="dxa"/>
        <w:tblInd w:w="120" w:type="dxa"/>
        <w:tblLayout w:type="fixed"/>
        <w:tblCellMar>
          <w:top w:w="80" w:type="dxa"/>
          <w:bottom w:w="80" w:type="dxa"/>
          <w:start w:w="120" w:type="dxa"/>
          <w:end w:w="120" w:type="dxa"/>
        </w:tblCellMar>
      </w:tblPr>
      <w:tblGrid>
        <w:gridCol w:w="1200"/>
        <w:gridCol w:w="2400"/>
        <w:gridCol w:w="1500"/>
        <w:gridCol w:w="4260"/>
      </w:tblGrid>
      <w:tr>
        <w:trPr>
          <w:tblHeader w:val="true"/>
        </w:trPr>
        <w:tc>
          <w:tcPr>
            <w:tcW w:type="dxa" w:w="1200"/>
            <w:shd w:fill="EAF3FF"/>
          </w:tcPr>
          <w:p>
            <w:r>
              <w:rPr>
                <w:rFonts w:ascii="Calibri" w:hAnsi="Calibri"/>
                <w:b/>
                <w:i w:val="0"/>
                <w:color w:val="234C80"/>
                <w:sz w:val="17"/>
              </w:rPr>
              <w:t>Result</w:t>
            </w:r>
          </w:p>
        </w:tc>
        <w:tc>
          <w:tcPr>
            <w:tcW w:type="dxa" w:w="2400"/>
          </w:tcPr>
          <w:p>
            <w:r>
              <w:rPr>
                <w:rFonts w:ascii="Calibri" w:hAnsi="Calibri"/>
                <w:b w:val="0"/>
                <w:i w:val="0"/>
                <w:color w:val="163A63"/>
                <w:sz w:val="17"/>
              </w:rPr>
              <w:t>PASS / FAIL / N/A</w:t>
            </w:r>
          </w:p>
        </w:tc>
        <w:tc>
          <w:tcPr>
            <w:tcW w:type="dxa" w:w="1500"/>
            <w:shd w:fill="EAF3FF"/>
          </w:tcPr>
          <w:p>
            <w:r>
              <w:rPr>
                <w:rFonts w:ascii="Calibri" w:hAnsi="Calibri"/>
                <w:b/>
                <w:i w:val="0"/>
                <w:color w:val="234C80"/>
                <w:sz w:val="17"/>
              </w:rPr>
              <w:t>Tester</w:t>
            </w:r>
          </w:p>
        </w:tc>
        <w:tc>
          <w:tcPr>
            <w:tcW w:type="dxa" w:w="4260"/>
          </w:tcPr>
          <w:p>
            <w:r>
              <w:rPr>
                <w:rFonts w:ascii="Calibri" w:hAnsi="Calibri"/>
                <w:b w:val="0"/>
                <w:i w:val="0"/>
                <w:color w:val="163A63"/>
                <w:sz w:val="17"/>
              </w:rPr>
            </w:r>
          </w:p>
        </w:tc>
      </w:tr>
      <w:tr>
        <w:tc>
          <w:tcPr>
            <w:tcW w:type="dxa" w:w="1200"/>
            <w:shd w:fill="EAF3FF"/>
          </w:tcPr>
          <w:p>
            <w:r>
              <w:rPr>
                <w:rFonts w:ascii="Calibri" w:hAnsi="Calibri"/>
                <w:b/>
                <w:i w:val="0"/>
                <w:color w:val="234C80"/>
                <w:sz w:val="17"/>
              </w:rPr>
              <w:t>Date</w:t>
            </w:r>
          </w:p>
        </w:tc>
        <w:tc>
          <w:tcPr>
            <w:tcW w:type="dxa" w:w="2400"/>
          </w:tcPr>
          <w:p>
            <w:r>
              <w:rPr>
                <w:rFonts w:ascii="Calibri" w:hAnsi="Calibri"/>
                <w:b w:val="0"/>
                <w:i w:val="0"/>
                <w:color w:val="163A63"/>
                <w:sz w:val="17"/>
              </w:rPr>
            </w:r>
          </w:p>
        </w:tc>
        <w:tc>
          <w:tcPr>
            <w:tcW w:type="dxa" w:w="1500"/>
            <w:shd w:fill="EAF3FF"/>
          </w:tcPr>
          <w:p>
            <w:r>
              <w:rPr>
                <w:rFonts w:ascii="Calibri" w:hAnsi="Calibri"/>
                <w:b/>
                <w:i w:val="0"/>
                <w:color w:val="234C80"/>
                <w:sz w:val="17"/>
              </w:rPr>
              <w:t>Defect / notes</w:t>
            </w:r>
          </w:p>
        </w:tc>
        <w:tc>
          <w:tcPr>
            <w:tcW w:type="dxa" w:w="4260"/>
          </w:tcPr>
          <w:p>
            <w:r>
              <w:rPr>
                <w:rFonts w:ascii="Calibri" w:hAnsi="Calibri"/>
                <w:b w:val="0"/>
                <w:i w:val="0"/>
                <w:color w:val="163A63"/>
                <w:sz w:val="17"/>
              </w:rPr>
            </w:r>
          </w:p>
        </w:tc>
      </w:tr>
    </w:tbl>
    <w:p/>
    <w:p>
      <w:pPr>
        <w:pStyle w:val="Heading2"/>
      </w:pPr>
      <w:r>
        <w:t>7.1 Expected component-kit contents</w:t>
      </w:r>
    </w:p>
    <w:tbl>
      <w:tblPr>
        <w:tblStyle w:val="TableGrid"/>
        <w:jc w:val="center"/>
        <w:tblLook w:firstColumn="1" w:firstRow="1" w:lastColumn="0" w:lastRow="0" w:noHBand="0" w:noVBand="1" w:val="04A0"/>
        <w:tblW w:w="9360" w:type="dxa"/>
        <w:tblInd w:w="120" w:type="dxa"/>
        <w:tblLayout w:type="fixed"/>
        <w:tblCellMar>
          <w:top w:w="80" w:type="dxa"/>
          <w:bottom w:w="80" w:type="dxa"/>
          <w:start w:w="120" w:type="dxa"/>
          <w:end w:w="120" w:type="dxa"/>
        </w:tblCellMar>
      </w:tblPr>
      <w:tblGrid>
        <w:gridCol w:w="4100"/>
        <w:gridCol w:w="5260"/>
      </w:tblGrid>
      <w:tr>
        <w:trPr>
          <w:tblHeader w:val="true"/>
        </w:trPr>
        <w:tc>
          <w:tcPr>
            <w:tcW w:type="dxa" w:w="4100"/>
            <w:shd w:fill="234C80"/>
            <w:vAlign w:val="center"/>
          </w:tcPr>
          <w:p>
            <w:r>
              <w:rPr>
                <w:rFonts w:ascii="Calibri" w:hAnsi="Calibri"/>
                <w:b/>
                <w:i w:val="0"/>
                <w:color w:val="FFFFFF"/>
                <w:sz w:val="17"/>
              </w:rPr>
              <w:t>Path below FMXPilot kit</w:t>
            </w:r>
          </w:p>
        </w:tc>
        <w:tc>
          <w:tcPr>
            <w:tcW w:type="dxa" w:w="5260"/>
            <w:shd w:fill="234C80"/>
            <w:vAlign w:val="center"/>
          </w:tcPr>
          <w:p>
            <w:r>
              <w:rPr>
                <w:rFonts w:ascii="Calibri" w:hAnsi="Calibri"/>
                <w:b/>
                <w:i w:val="0"/>
                <w:color w:val="FFFFFF"/>
                <w:sz w:val="17"/>
              </w:rPr>
              <w:t>Purpose</w:t>
            </w:r>
          </w:p>
        </w:tc>
      </w:tr>
      <w:tr>
        <w:trPr>
          <w:cantSplit/>
        </w:trPr>
        <w:tc>
          <w:tcPr>
            <w:tcW w:type="dxa" w:w="4100"/>
            <w:vAlign w:val="center"/>
          </w:tcPr>
          <w:p>
            <w:pPr>
              <w:spacing w:after="40" w:line="252" w:lineRule="auto"/>
            </w:pPr>
            <w:r>
              <w:rPr>
                <w:rFonts w:ascii="Calibri" w:hAnsi="Calibri"/>
                <w:b w:val="0"/>
                <w:i w:val="0"/>
                <w:color w:val="163A63"/>
                <w:sz w:val="17"/>
              </w:rPr>
              <w:t>README.txt</w:t>
            </w:r>
          </w:p>
        </w:tc>
        <w:tc>
          <w:tcPr>
            <w:tcW w:type="dxa" w:w="5260"/>
            <w:vAlign w:val="center"/>
          </w:tcPr>
          <w:p>
            <w:pPr>
              <w:spacing w:after="40" w:line="252" w:lineRule="auto"/>
            </w:pPr>
            <w:r>
              <w:rPr>
                <w:rFonts w:ascii="Calibri" w:hAnsi="Calibri"/>
                <w:b w:val="0"/>
                <w:i w:val="0"/>
                <w:color w:val="163A63"/>
                <w:sz w:val="17"/>
              </w:rPr>
              <w:t>Ordered Object Inspector, Search Path, deployment, and build instructions.</w:t>
            </w:r>
          </w:p>
        </w:tc>
      </w:tr>
      <w:tr>
        <w:trPr>
          <w:cantSplit/>
        </w:trPr>
        <w:tc>
          <w:tcPr>
            <w:tcW w:type="dxa" w:w="4100"/>
            <w:vAlign w:val="center"/>
            <w:shd w:fill="F6F9FC"/>
          </w:tcPr>
          <w:p>
            <w:pPr>
              <w:spacing w:after="40" w:line="252" w:lineRule="auto"/>
            </w:pPr>
            <w:r>
              <w:rPr>
                <w:rFonts w:ascii="Calibri" w:hAnsi="Calibri"/>
                <w:b w:val="0"/>
                <w:i w:val="0"/>
                <w:color w:val="163A63"/>
                <w:sz w:val="17"/>
              </w:rPr>
              <w:t>component-integration.json</w:t>
            </w:r>
          </w:p>
        </w:tc>
        <w:tc>
          <w:tcPr>
            <w:tcW w:type="dxa" w:w="5260"/>
            <w:vAlign w:val="center"/>
            <w:shd w:fill="F6F9FC"/>
          </w:tcPr>
          <w:p>
            <w:pPr>
              <w:spacing w:after="40" w:line="252" w:lineRule="auto"/>
            </w:pPr>
            <w:r>
              <w:rPr>
                <w:rFonts w:ascii="Calibri" w:hAnsi="Calibri"/>
                <w:b w:val="0"/>
                <w:i w:val="0"/>
                <w:color w:val="163A63"/>
                <w:sz w:val="17"/>
              </w:rPr>
              <w:t>Application identity, FMX framework, manager/selector classes, language metadata, and scanner form roots.</w:t>
            </w:r>
          </w:p>
        </w:tc>
      </w:tr>
      <w:tr>
        <w:trPr>
          <w:cantSplit/>
        </w:trPr>
        <w:tc>
          <w:tcPr>
            <w:tcW w:type="dxa" w:w="4100"/>
            <w:vAlign w:val="center"/>
          </w:tcPr>
          <w:p>
            <w:pPr>
              <w:spacing w:after="40" w:line="252" w:lineRule="auto"/>
            </w:pPr>
            <w:r>
              <w:rPr>
                <w:rFonts w:ascii="Calibri" w:hAnsi="Calibri"/>
                <w:b w:val="0"/>
                <w:i w:val="0"/>
                <w:color w:val="163A63"/>
                <w:sz w:val="17"/>
              </w:rPr>
              <w:t>Deploy-LanguagePacks.ps1</w:t>
            </w:r>
          </w:p>
        </w:tc>
        <w:tc>
          <w:tcPr>
            <w:tcW w:type="dxa" w:w="5260"/>
            <w:vAlign w:val="center"/>
          </w:tcPr>
          <w:p>
            <w:pPr>
              <w:spacing w:after="40" w:line="252" w:lineRule="auto"/>
            </w:pPr>
            <w:r>
              <w:rPr>
                <w:rFonts w:ascii="Calibri" w:hAnsi="Calibri"/>
                <w:b w:val="0"/>
                <w:i w:val="0"/>
                <w:color w:val="163A63"/>
                <w:sz w:val="17"/>
              </w:rPr>
              <w:t>Copies only JSON packs to a selected executable directory.</w:t>
            </w:r>
          </w:p>
        </w:tc>
      </w:tr>
      <w:tr>
        <w:trPr>
          <w:cantSplit/>
        </w:trPr>
        <w:tc>
          <w:tcPr>
            <w:tcW w:type="dxa" w:w="4100"/>
            <w:vAlign w:val="center"/>
            <w:shd w:fill="F6F9FC"/>
          </w:tcPr>
          <w:p>
            <w:pPr>
              <w:spacing w:after="40" w:line="252" w:lineRule="auto"/>
            </w:pPr>
            <w:r>
              <w:rPr>
                <w:rFonts w:ascii="Calibri" w:hAnsi="Calibri"/>
                <w:b w:val="0"/>
                <w:i w:val="0"/>
                <w:color w:val="163A63"/>
                <w:sz w:val="17"/>
              </w:rPr>
              <w:t>Localization\Languages\en-US.json</w:t>
            </w:r>
          </w:p>
        </w:tc>
        <w:tc>
          <w:tcPr>
            <w:tcW w:type="dxa" w:w="5260"/>
            <w:vAlign w:val="center"/>
            <w:shd w:fill="F6F9FC"/>
          </w:tcPr>
          <w:p>
            <w:pPr>
              <w:spacing w:after="40" w:line="252" w:lineRule="auto"/>
            </w:pPr>
            <w:r>
              <w:rPr>
                <w:rFonts w:ascii="Calibri" w:hAnsi="Calibri"/>
                <w:b w:val="0"/>
                <w:i w:val="0"/>
                <w:color w:val="163A63"/>
                <w:sz w:val="17"/>
              </w:rPr>
              <w:t>Generated source-language pack for deterministic return to English.</w:t>
            </w:r>
          </w:p>
        </w:tc>
      </w:tr>
      <w:tr>
        <w:trPr>
          <w:cantSplit/>
        </w:trPr>
        <w:tc>
          <w:tcPr>
            <w:tcW w:type="dxa" w:w="4100"/>
            <w:vAlign w:val="center"/>
          </w:tcPr>
          <w:p>
            <w:pPr>
              <w:spacing w:after="40" w:line="252" w:lineRule="auto"/>
            </w:pPr>
            <w:r>
              <w:rPr>
                <w:rFonts w:ascii="Calibri" w:hAnsi="Calibri"/>
                <w:b w:val="0"/>
                <w:i w:val="0"/>
                <w:color w:val="163A63"/>
                <w:sz w:val="17"/>
              </w:rPr>
              <w:t>Localization\Languages\&lt;locale&gt;.json</w:t>
            </w:r>
          </w:p>
        </w:tc>
        <w:tc>
          <w:tcPr>
            <w:tcW w:type="dxa" w:w="5260"/>
            <w:vAlign w:val="center"/>
          </w:tcPr>
          <w:p>
            <w:pPr>
              <w:spacing w:after="40" w:line="252" w:lineRule="auto"/>
            </w:pPr>
            <w:r>
              <w:rPr>
                <w:rFonts w:ascii="Calibri" w:hAnsi="Calibri"/>
                <w:b w:val="0"/>
                <w:i w:val="0"/>
                <w:color w:val="163A63"/>
                <w:sz w:val="17"/>
              </w:rPr>
              <w:t>Validated translated runtime pack.</w:t>
            </w:r>
          </w:p>
        </w:tc>
      </w:tr>
      <w:tr>
        <w:trPr>
          <w:cantSplit/>
        </w:trPr>
        <w:tc>
          <w:tcPr>
            <w:tcW w:type="dxa" w:w="4100"/>
            <w:vAlign w:val="center"/>
            <w:shd w:fill="F6F9FC"/>
          </w:tcPr>
          <w:p>
            <w:pPr>
              <w:spacing w:after="40" w:line="252" w:lineRule="auto"/>
            </w:pPr>
            <w:r>
              <w:rPr>
                <w:rFonts w:ascii="Calibri" w:hAnsi="Calibri"/>
                <w:b w:val="0"/>
                <w:i w:val="0"/>
                <w:color w:val="163A63"/>
                <w:sz w:val="17"/>
              </w:rPr>
              <w:t>ComponentSource\DAT.Components.Core.pas</w:t>
            </w:r>
          </w:p>
        </w:tc>
        <w:tc>
          <w:tcPr>
            <w:tcW w:type="dxa" w:w="5260"/>
            <w:vAlign w:val="center"/>
            <w:shd w:fill="F6F9FC"/>
          </w:tcPr>
          <w:p>
            <w:pPr>
              <w:spacing w:after="40" w:line="252" w:lineRule="auto"/>
            </w:pPr>
            <w:r>
              <w:rPr>
                <w:rFonts w:ascii="Calibri" w:hAnsi="Calibri"/>
                <w:b w:val="0"/>
                <w:i w:val="0"/>
                <w:color w:val="163A63"/>
                <w:sz w:val="17"/>
              </w:rPr>
              <w:t>Framework-neutral manager core.</w:t>
            </w:r>
          </w:p>
        </w:tc>
      </w:tr>
      <w:tr>
        <w:trPr>
          <w:cantSplit/>
        </w:trPr>
        <w:tc>
          <w:tcPr>
            <w:tcW w:type="dxa" w:w="4100"/>
            <w:vAlign w:val="center"/>
          </w:tcPr>
          <w:p>
            <w:pPr>
              <w:spacing w:after="40" w:line="252" w:lineRule="auto"/>
            </w:pPr>
            <w:r>
              <w:rPr>
                <w:rFonts w:ascii="Calibri" w:hAnsi="Calibri"/>
                <w:b w:val="0"/>
                <w:i w:val="0"/>
                <w:color w:val="163A63"/>
                <w:sz w:val="17"/>
              </w:rPr>
              <w:t>ComponentSource\DAT.Components.FMX.pas</w:t>
            </w:r>
          </w:p>
        </w:tc>
        <w:tc>
          <w:tcPr>
            <w:tcW w:type="dxa" w:w="5260"/>
            <w:vAlign w:val="center"/>
          </w:tcPr>
          <w:p>
            <w:pPr>
              <w:spacing w:after="40" w:line="252" w:lineRule="auto"/>
            </w:pPr>
            <w:r>
              <w:rPr>
                <w:rFonts w:ascii="Calibri" w:hAnsi="Calibri"/>
                <w:b w:val="0"/>
                <w:i w:val="0"/>
                <w:color w:val="163A63"/>
                <w:sz w:val="17"/>
              </w:rPr>
              <w:t>FMX lifecycle adapter and manager.</w:t>
            </w:r>
          </w:p>
        </w:tc>
      </w:tr>
      <w:tr>
        <w:trPr>
          <w:cantSplit/>
        </w:trPr>
        <w:tc>
          <w:tcPr>
            <w:tcW w:type="dxa" w:w="4100"/>
            <w:vAlign w:val="center"/>
            <w:shd w:fill="F6F9FC"/>
          </w:tcPr>
          <w:p>
            <w:pPr>
              <w:spacing w:after="40" w:line="252" w:lineRule="auto"/>
            </w:pPr>
            <w:r>
              <w:rPr>
                <w:rFonts w:ascii="Calibri" w:hAnsi="Calibri"/>
                <w:b w:val="0"/>
                <w:i w:val="0"/>
                <w:color w:val="163A63"/>
                <w:sz w:val="17"/>
              </w:rPr>
              <w:t>ComponentSource\DAT.Components.FMX.LanguageSelector.pas</w:t>
            </w:r>
          </w:p>
        </w:tc>
        <w:tc>
          <w:tcPr>
            <w:tcW w:type="dxa" w:w="5260"/>
            <w:vAlign w:val="center"/>
            <w:shd w:fill="F6F9FC"/>
          </w:tcPr>
          <w:p>
            <w:pPr>
              <w:spacing w:after="40" w:line="252" w:lineRule="auto"/>
            </w:pPr>
            <w:r>
              <w:rPr>
                <w:rFonts w:ascii="Calibri" w:hAnsi="Calibri"/>
                <w:b w:val="0"/>
                <w:i w:val="0"/>
                <w:color w:val="163A63"/>
                <w:sz w:val="17"/>
              </w:rPr>
              <w:t>Optional typed FMX language combo box.</w:t>
            </w:r>
          </w:p>
        </w:tc>
      </w:tr>
      <w:tr>
        <w:trPr>
          <w:cantSplit/>
        </w:trPr>
        <w:tc>
          <w:tcPr>
            <w:tcW w:type="dxa" w:w="4100"/>
            <w:vAlign w:val="center"/>
          </w:tcPr>
          <w:p>
            <w:pPr>
              <w:spacing w:after="40" w:line="252" w:lineRule="auto"/>
            </w:pPr>
            <w:r>
              <w:rPr>
                <w:rFonts w:ascii="Calibri" w:hAnsi="Calibri"/>
                <w:b w:val="0"/>
                <w:i w:val="0"/>
                <w:color w:val="163A63"/>
                <w:sz w:val="17"/>
              </w:rPr>
              <w:t>ComponentSource\DAT.Runtime.*.pas</w:t>
            </w:r>
          </w:p>
        </w:tc>
        <w:tc>
          <w:tcPr>
            <w:tcW w:type="dxa" w:w="5260"/>
            <w:vAlign w:val="center"/>
          </w:tcPr>
          <w:p>
            <w:pPr>
              <w:spacing w:after="40" w:line="252" w:lineRule="auto"/>
            </w:pPr>
            <w:r>
              <w:rPr>
                <w:rFonts w:ascii="Calibri" w:hAnsi="Calibri"/>
                <w:b w:val="0"/>
                <w:i w:val="0"/>
                <w:color w:val="163A63"/>
                <w:sz w:val="17"/>
              </w:rPr>
              <w:t>Pack discovery, preferences, runtime manager, and FMX property application.</w:t>
            </w:r>
          </w:p>
        </w:tc>
      </w:tr>
    </w:tbl>
    <w:p/>
    <w:p>
      <w:pPr>
        <w:pStyle w:val="Heading2"/>
      </w:pPr>
      <w:r>
        <w:t>TC-10 Install the FMX design package through Delphi</w:t>
      </w:r>
    </w:p>
    <w:tbl>
      <w:tblPr>
        <w:jc w:val="center"/>
        <w:tblLook w:firstColumn="1" w:firstRow="1" w:lastColumn="0" w:lastRow="0" w:noHBand="0" w:noVBand="1" w:val="04A0"/>
        <w:tblW w:w="9360" w:type="dxa"/>
        <w:tblInd w:w="120" w:type="dxa"/>
        <w:tblLayout w:type="fixed"/>
        <w:tblCellMar>
          <w:top w:w="80" w:type="dxa"/>
          <w:bottom w:w="80" w:type="dxa"/>
          <w:start w:w="120" w:type="dxa"/>
          <w:end w:w="120" w:type="dxa"/>
        </w:tblCellMar>
      </w:tblPr>
      <w:tblGrid>
        <w:gridCol w:w="9360"/>
      </w:tblGrid>
      <w:tr>
        <w:trPr>
          <w:cantSplit/>
          <w:tblHeader w:val="true"/>
        </w:trPr>
        <w:tc>
          <w:tcPr>
            <w:tcW w:type="dxa" w:w="9360"/>
            <w:shd w:fill="EAF3FF"/>
            <w:vAlign w:val="center"/>
          </w:tcPr>
          <w:p>
            <w:pPr>
              <w:pStyle w:val="Callout"/>
            </w:pPr>
            <w:r>
              <w:rPr>
                <w:b/>
                <w:color w:val="234C80"/>
              </w:rPr>
              <w:t xml:space="preserve">Objective. </w:t>
            </w:r>
            <w:r>
              <w:t>Use RAD Studio's standard package manager to make the manager and selector available without changing the target.</w:t>
            </w:r>
          </w:p>
        </w:tc>
      </w:tr>
    </w:tbl>
    <w:p>
      <w:pPr>
        <w:pStyle w:val="Heading3"/>
      </w:pPr>
      <w:r>
        <w:t>Procedure</w:t>
      </w:r>
    </w:p>
    <w:p>
      <w:pPr>
        <w:pStyle w:val="ListNumber"/>
        <w:numPr>
          <w:ilvl w:val="0"/>
          <w:numId w:val="23"/>
        </w:numPr>
      </w:pPr>
      <w:r>
        <w:t>In the Translation Studio Integration page, choose Show Design BPL. Confirm File Explorer selects C:\DelphiProjects\Delphi App Translation\bin\packages\Win32\Release\DATLanguageManagerFMXDesign.bpl.</w:t>
      </w:r>
    </w:p>
    <w:p>
      <w:pPr>
        <w:pStyle w:val="ListNumber"/>
        <w:numPr>
          <w:ilvl w:val="0"/>
          <w:numId w:val="23"/>
        </w:numPr>
      </w:pPr>
      <w:r>
        <w:t>Start or activate RAD Studio without opening the disposable target project or a target form.</w:t>
      </w:r>
    </w:p>
    <w:p>
      <w:pPr>
        <w:pStyle w:val="ListNumber"/>
        <w:numPr>
          <w:ilvl w:val="0"/>
          <w:numId w:val="23"/>
        </w:numPr>
      </w:pPr>
      <w:r>
        <w:t>Choose Component &gt; Install Packages, then choose Add.</w:t>
      </w:r>
    </w:p>
    <w:p>
      <w:pPr>
        <w:pStyle w:val="ListNumber"/>
        <w:numPr>
          <w:ilvl w:val="0"/>
          <w:numId w:val="23"/>
        </w:numPr>
      </w:pPr>
      <w:r>
        <w:t>Browse to the exact BPL selected by Show Design BPL, select DATLanguageManagerFMXDesign.bpl, and choose Open. Never use Component &gt; Install Component and never select DATLanguageManagerFMXDesign.dpk.</w:t>
      </w:r>
    </w:p>
    <w:p>
      <w:pPr>
        <w:pStyle w:val="ListNumber"/>
        <w:numPr>
          <w:ilvl w:val="0"/>
          <w:numId w:val="23"/>
        </w:numPr>
      </w:pPr>
      <w:r>
        <w:t>Confirm DAT Language Manager FireMonkey design-time package is listed and checked. Confirm the normal Embarcadero package list remains present and Embarcadero FMX Components is listed and checked. Choose OK.</w:t>
      </w:r>
    </w:p>
    <w:p>
      <w:pPr>
        <w:pStyle w:val="ListNumber"/>
        <w:numPr>
          <w:ilvl w:val="0"/>
          <w:numId w:val="23"/>
        </w:numPr>
      </w:pPr>
      <w:r>
        <w:t>Open an FMX form and confirm DAT Localization appears in the Tool Palette.</w:t>
      </w:r>
    </w:p>
    <w:p>
      <w:pPr>
        <w:pStyle w:val="Heading3"/>
      </w:pPr>
      <w:r>
        <w:t>Expected result</w:t>
      </w:r>
    </w:p>
    <w:p>
      <w:pPr>
        <w:pStyle w:val="ListBullet"/>
      </w:pPr>
      <w:r>
        <w:t>TDATFMXLanguageManager and TDATFMXLanguageComboBox are available.</w:t>
      </w:r>
    </w:p>
    <w:p>
      <w:pPr>
        <w:pStyle w:val="ListBullet"/>
      </w:pPr>
      <w:r>
        <w:t>The stable Studio bin\packages path remains the registered package location; the Studio has not copied any BPL into a Delphi system or public Bpl folder.</w:t>
      </w:r>
    </w:p>
    <w:p>
      <w:pPr>
        <w:pStyle w:val="ListBullet"/>
      </w:pPr>
      <w:r>
        <w:t>The design BPL has no custom DAT runtime-BPL import, so it loads without a missing-module error.</w:t>
      </w:r>
    </w:p>
    <w:p>
      <w:pPr>
        <w:pStyle w:val="ListBullet"/>
      </w:pPr>
      <w:r>
        <w:t>The complete standard package list remains available; standard controls such as TTabControl stream normally.</w:t>
      </w:r>
    </w:p>
    <w:p>
      <w:pPr>
        <w:pStyle w:val="ListBullet"/>
      </w:pPr>
      <w:r>
        <w:t>Closing and reopening RAD Studio produces no package-load error.</w:t>
      </w:r>
    </w:p>
    <w:p>
      <w:pPr>
        <w:pStyle w:val="ListBullet"/>
      </w:pPr>
      <w:r>
        <w:t>No package is installed for VCL unless a VCL target is being tested.</w:t>
      </w:r>
    </w:p>
    <w:tbl>
      <w:tblPr>
        <w:tblStyle w:val="TableGrid"/>
        <w:jc w:val="center"/>
        <w:tblLook w:firstColumn="1" w:firstRow="1" w:lastColumn="0" w:lastRow="0" w:noHBand="0" w:noVBand="1" w:val="04A0"/>
        <w:tblW w:w="9360" w:type="dxa"/>
        <w:tblInd w:w="120" w:type="dxa"/>
        <w:tblLayout w:type="fixed"/>
        <w:tblCellMar>
          <w:top w:w="80" w:type="dxa"/>
          <w:bottom w:w="80" w:type="dxa"/>
          <w:start w:w="120" w:type="dxa"/>
          <w:end w:w="120" w:type="dxa"/>
        </w:tblCellMar>
      </w:tblPr>
      <w:tblGrid>
        <w:gridCol w:w="1200"/>
        <w:gridCol w:w="2400"/>
        <w:gridCol w:w="1500"/>
        <w:gridCol w:w="4260"/>
      </w:tblGrid>
      <w:tr>
        <w:trPr>
          <w:tblHeader w:val="true"/>
        </w:trPr>
        <w:tc>
          <w:tcPr>
            <w:tcW w:type="dxa" w:w="1200"/>
            <w:shd w:fill="EAF3FF"/>
          </w:tcPr>
          <w:p>
            <w:r>
              <w:rPr>
                <w:rFonts w:ascii="Calibri" w:hAnsi="Calibri"/>
                <w:b/>
                <w:i w:val="0"/>
                <w:color w:val="234C80"/>
                <w:sz w:val="17"/>
              </w:rPr>
              <w:t>Result</w:t>
            </w:r>
          </w:p>
        </w:tc>
        <w:tc>
          <w:tcPr>
            <w:tcW w:type="dxa" w:w="2400"/>
          </w:tcPr>
          <w:p>
            <w:r>
              <w:rPr>
                <w:rFonts w:ascii="Calibri" w:hAnsi="Calibri"/>
                <w:b w:val="0"/>
                <w:i w:val="0"/>
                <w:color w:val="163A63"/>
                <w:sz w:val="17"/>
              </w:rPr>
              <w:t>PASS / FAIL / N/A</w:t>
            </w:r>
          </w:p>
        </w:tc>
        <w:tc>
          <w:tcPr>
            <w:tcW w:type="dxa" w:w="1500"/>
            <w:shd w:fill="EAF3FF"/>
          </w:tcPr>
          <w:p>
            <w:r>
              <w:rPr>
                <w:rFonts w:ascii="Calibri" w:hAnsi="Calibri"/>
                <w:b/>
                <w:i w:val="0"/>
                <w:color w:val="234C80"/>
                <w:sz w:val="17"/>
              </w:rPr>
              <w:t>Tester</w:t>
            </w:r>
          </w:p>
        </w:tc>
        <w:tc>
          <w:tcPr>
            <w:tcW w:type="dxa" w:w="4260"/>
          </w:tcPr>
          <w:p>
            <w:r>
              <w:rPr>
                <w:rFonts w:ascii="Calibri" w:hAnsi="Calibri"/>
                <w:b w:val="0"/>
                <w:i w:val="0"/>
                <w:color w:val="163A63"/>
                <w:sz w:val="17"/>
              </w:rPr>
            </w:r>
          </w:p>
        </w:tc>
      </w:tr>
      <w:tr>
        <w:tc>
          <w:tcPr>
            <w:tcW w:type="dxa" w:w="1200"/>
            <w:shd w:fill="EAF3FF"/>
          </w:tcPr>
          <w:p>
            <w:r>
              <w:rPr>
                <w:rFonts w:ascii="Calibri" w:hAnsi="Calibri"/>
                <w:b/>
                <w:i w:val="0"/>
                <w:color w:val="234C80"/>
                <w:sz w:val="17"/>
              </w:rPr>
              <w:t>Date</w:t>
            </w:r>
          </w:p>
        </w:tc>
        <w:tc>
          <w:tcPr>
            <w:tcW w:type="dxa" w:w="2400"/>
          </w:tcPr>
          <w:p>
            <w:r>
              <w:rPr>
                <w:rFonts w:ascii="Calibri" w:hAnsi="Calibri"/>
                <w:b w:val="0"/>
                <w:i w:val="0"/>
                <w:color w:val="163A63"/>
                <w:sz w:val="17"/>
              </w:rPr>
            </w:r>
          </w:p>
        </w:tc>
        <w:tc>
          <w:tcPr>
            <w:tcW w:type="dxa" w:w="1500"/>
            <w:shd w:fill="EAF3FF"/>
          </w:tcPr>
          <w:p>
            <w:r>
              <w:rPr>
                <w:rFonts w:ascii="Calibri" w:hAnsi="Calibri"/>
                <w:b/>
                <w:i w:val="0"/>
                <w:color w:val="234C80"/>
                <w:sz w:val="17"/>
              </w:rPr>
              <w:t>Defect / notes</w:t>
            </w:r>
          </w:p>
        </w:tc>
        <w:tc>
          <w:tcPr>
            <w:tcW w:type="dxa" w:w="4260"/>
          </w:tcPr>
          <w:p>
            <w:r>
              <w:rPr>
                <w:rFonts w:ascii="Calibri" w:hAnsi="Calibri"/>
                <w:b w:val="0"/>
                <w:i w:val="0"/>
                <w:color w:val="163A63"/>
                <w:sz w:val="17"/>
              </w:rPr>
            </w:r>
          </w:p>
        </w:tc>
      </w:tr>
    </w:tbl>
    <w:p/>
    <w:tbl>
      <w:tblPr>
        <w:jc w:val="center"/>
        <w:tblLook w:firstColumn="1" w:firstRow="1" w:lastColumn="0" w:lastRow="0" w:noHBand="0" w:noVBand="1" w:val="04A0"/>
        <w:tblW w:w="9360" w:type="dxa"/>
        <w:tblInd w:w="120" w:type="dxa"/>
        <w:tblLayout w:type="fixed"/>
        <w:tblCellMar>
          <w:top w:w="80" w:type="dxa"/>
          <w:bottom w:w="80" w:type="dxa"/>
          <w:start w:w="120" w:type="dxa"/>
          <w:end w:w="120" w:type="dxa"/>
        </w:tblCellMar>
      </w:tblPr>
      <w:tblGrid>
        <w:gridCol w:w="9360"/>
      </w:tblGrid>
      <w:tr>
        <w:trPr>
          <w:cantSplit/>
          <w:tblHeader w:val="true"/>
        </w:trPr>
        <w:tc>
          <w:tcPr>
            <w:tcW w:type="dxa" w:w="9360"/>
            <w:shd w:fill="EAF3FF"/>
            <w:vAlign w:val="center"/>
          </w:tcPr>
          <w:p>
            <w:pPr>
              <w:pStyle w:val="Callout"/>
            </w:pPr>
            <w:r>
              <w:rPr>
                <w:b/>
                <w:color w:val="234C80"/>
              </w:rPr>
              <w:t xml:space="preserve">Do not register a generated-kit path. </w:t>
            </w:r>
            <w:r>
              <w:t>Per-project component kits are replaceable output. Installing a BPL from a kit would make Delphi depend on a volatile path and could prevent clean kit regeneration. Always use Show Design BPL and the stable Studio bin\packages\Win32\Release file.</w:t>
            </w:r>
          </w:p>
        </w:tc>
      </w:tr>
    </w:tbl>
    <w:tbl>
      <w:tblPr>
        <w:jc w:val="center"/>
        <w:tblLook w:firstColumn="1" w:firstRow="1" w:lastColumn="0" w:lastRow="0" w:noHBand="0" w:noVBand="1" w:val="04A0"/>
        <w:tblW w:w="9360" w:type="dxa"/>
        <w:tblInd w:w="120" w:type="dxa"/>
        <w:tblLayout w:type="fixed"/>
        <w:tblCellMar>
          <w:top w:w="80" w:type="dxa"/>
          <w:bottom w:w="80" w:type="dxa"/>
          <w:start w:w="120" w:type="dxa"/>
          <w:end w:w="120" w:type="dxa"/>
        </w:tblCellMar>
      </w:tblPr>
      <w:tblGrid>
        <w:gridCol w:w="9360"/>
      </w:tblGrid>
      <w:tr>
        <w:trPr>
          <w:cantSplit/>
          <w:tblHeader w:val="true"/>
        </w:trPr>
        <w:tc>
          <w:tcPr>
            <w:tcW w:type="dxa" w:w="9360"/>
            <w:shd w:fill="EAF3FF"/>
            <w:vAlign w:val="center"/>
          </w:tcPr>
          <w:p>
            <w:pPr>
              <w:pStyle w:val="Callout"/>
            </w:pPr>
            <w:r>
              <w:rPr>
                <w:b/>
                <w:color w:val="234C80"/>
              </w:rPr>
              <w:t xml:space="preserve">Exact compiler Search Path for the target project. </w:t>
            </w:r>
            <w:r>
              <w:t>In RAD Studio, open Project &gt; Options &gt; Building &gt; Delphi Compiler, select All configurations and All platforms, and append $(PROJECTDIR)\dependencies\DelphiAppTranslation\source to Search path exactly once. Preserve every existing entry and use a semicolon between entries when necessary.</w:t>
            </w:r>
          </w:p>
        </w:tc>
      </w:tr>
    </w:tbl>
    <w:p>
      <w:pPr>
        <w:pStyle w:val="Heading2"/>
      </w:pPr>
      <w:r>
        <w:t>TC-11 Perform the visible Delphi integration</w:t>
      </w:r>
    </w:p>
    <w:tbl>
      <w:tblPr>
        <w:jc w:val="center"/>
        <w:tblLook w:firstColumn="1" w:firstRow="1" w:lastColumn="0" w:lastRow="0" w:noHBand="0" w:noVBand="1" w:val="04A0"/>
        <w:tblW w:w="9360" w:type="dxa"/>
        <w:tblInd w:w="120" w:type="dxa"/>
        <w:tblLayout w:type="fixed"/>
        <w:tblCellMar>
          <w:top w:w="80" w:type="dxa"/>
          <w:bottom w:w="80" w:type="dxa"/>
          <w:start w:w="120" w:type="dxa"/>
          <w:end w:w="120" w:type="dxa"/>
        </w:tblCellMar>
      </w:tblPr>
      <w:tblGrid>
        <w:gridCol w:w="9360"/>
      </w:tblGrid>
      <w:tr>
        <w:trPr>
          <w:cantSplit/>
          <w:tblHeader w:val="true"/>
        </w:trPr>
        <w:tc>
          <w:tcPr>
            <w:tcW w:type="dxa" w:w="9360"/>
            <w:shd w:fill="EAF3FF"/>
            <w:vAlign w:val="center"/>
          </w:tcPr>
          <w:p>
            <w:pPr>
              <w:pStyle w:val="Callout"/>
            </w:pPr>
            <w:r>
              <w:rPr>
                <w:b/>
                <w:color w:val="234C80"/>
              </w:rPr>
              <w:t xml:space="preserve">Objective. </w:t>
            </w:r>
            <w:r>
              <w:t>Add one manager and one optional selector through normal Form Designer operations in the disposable target copy.</w:t>
            </w:r>
          </w:p>
        </w:tc>
      </w:tr>
    </w:tbl>
    <w:p>
      <w:pPr>
        <w:pStyle w:val="Heading3"/>
      </w:pPr>
      <w:r>
        <w:t>Procedure</w:t>
      </w:r>
    </w:p>
    <w:p>
      <w:pPr>
        <w:pStyle w:val="ListNumber"/>
        <w:numPr>
          <w:ilvl w:val="0"/>
          <w:numId w:val="24"/>
        </w:numPr>
      </w:pPr>
      <w:r>
        <w:t>Open C:\DelphiProjects\FMXPilot - Component Test\FMXPilot.dproj in RAD Studio.</w:t>
      </w:r>
    </w:p>
    <w:p>
      <w:pPr>
        <w:pStyle w:val="ListNumber"/>
        <w:numPr>
          <w:ilvl w:val="0"/>
          <w:numId w:val="24"/>
        </w:numPr>
      </w:pPr>
      <w:r>
        <w:t>Verify that Project Options contains $(PROJECTDIR)\dependencies\DelphiAppTranslation\source exactly once in the Delphi Compiler Search path for all configurations and both Windows platforms. Retain every existing entry.</w:t>
      </w:r>
    </w:p>
    <w:p>
      <w:pPr>
        <w:pStyle w:val="ListNumber"/>
        <w:numPr>
          <w:ilvl w:val="0"/>
          <w:numId w:val="24"/>
        </w:numPr>
      </w:pPr>
      <w:r>
        <w:t>Open FMXPilot.MainForm.fmx (frmMainDashboard) in the FMX Form Designer.</w:t>
      </w:r>
    </w:p>
    <w:p>
      <w:pPr>
        <w:pStyle w:val="ListNumber"/>
        <w:numPr>
          <w:ilvl w:val="0"/>
          <w:numId w:val="24"/>
        </w:numPr>
      </w:pPr>
      <w:r>
        <w:t>Drop one TDATFMXLanguageManager on the primary form.</w:t>
      </w:r>
    </w:p>
    <w:p>
      <w:pPr>
        <w:pStyle w:val="ListNumber"/>
        <w:numPr>
          <w:ilvl w:val="0"/>
          <w:numId w:val="24"/>
        </w:numPr>
      </w:pPr>
      <w:r>
        <w:t>Set ApplicationId to FMXPilot, LanguagesFolder to Localization\Languages, and SourceLanguage to en-US.</w:t>
      </w:r>
    </w:p>
    <w:p>
      <w:pPr>
        <w:pStyle w:val="ListNumber"/>
        <w:numPr>
          <w:ilvl w:val="0"/>
          <w:numId w:val="24"/>
        </w:numPr>
      </w:pPr>
      <w:r>
        <w:t>Leave AutoLoadPreferred, AutoTranslateOwner, AutoTranslateNewForms, ReapplyOpenForms, and PreserveControlState True for the acceptance test.</w:t>
      </w:r>
    </w:p>
    <w:p>
      <w:pPr>
        <w:pStyle w:val="ListNumber"/>
        <w:numPr>
          <w:ilvl w:val="0"/>
          <w:numId w:val="24"/>
        </w:numPr>
      </w:pPr>
      <w:r>
        <w:t>Place one TDATFMXLanguageComboBox in an appropriate visible header/menu area.</w:t>
      </w:r>
    </w:p>
    <w:p>
      <w:pPr>
        <w:pStyle w:val="ListNumber"/>
        <w:numPr>
          <w:ilvl w:val="0"/>
          <w:numId w:val="24"/>
        </w:numPr>
      </w:pPr>
      <w:r>
        <w:t>Set its LanguageManager property to the manager. Leave AutoPopulate and ShowLanguageCode True.</w:t>
      </w:r>
    </w:p>
    <w:p>
      <w:pPr>
        <w:pStyle w:val="ListNumber"/>
        <w:numPr>
          <w:ilvl w:val="0"/>
          <w:numId w:val="24"/>
        </w:numPr>
      </w:pPr>
      <w:r>
        <w:t>Choose File &gt; Save All. Do not rely on Build to preserve unsaved Form Designer changes.</w:t>
      </w:r>
    </w:p>
    <w:p>
      <w:pPr>
        <w:pStyle w:val="ListNumber"/>
        <w:numPr>
          <w:ilvl w:val="0"/>
          <w:numId w:val="24"/>
        </w:numPr>
      </w:pPr>
      <w:r>
        <w:t>Close and reopen FMXPilot.MainForm.fmx in the Form Designer. Confirm the manager, selector, label, and all Object Inspector properties are still present.</w:t>
      </w:r>
    </w:p>
    <w:p>
      <w:pPr>
        <w:pStyle w:val="ListNumber"/>
        <w:numPr>
          <w:ilvl w:val="0"/>
          <w:numId w:val="24"/>
        </w:numPr>
      </w:pPr>
      <w:r>
        <w:t>Run git -C "C:\DelphiProjects\FMXPilot - Component Test" status --short and inspect the exact diff before building.</w:t>
      </w:r>
    </w:p>
    <w:p>
      <w:pPr>
        <w:pStyle w:val="Heading3"/>
      </w:pPr>
      <w:r>
        <w:t>Expected result</w:t>
      </w:r>
    </w:p>
    <w:p>
      <w:pPr>
        <w:pStyle w:val="ListBullet"/>
      </w:pPr>
      <w:r>
        <w:t>Only normal developer-authored Form Designer changes appear in the target diff. The Studio leaves target Pascal, DPR, DPROJ, DFM, and FMX files unchanged.</w:t>
      </w:r>
    </w:p>
    <w:p>
      <w:pPr>
        <w:pStyle w:val="ListBullet"/>
      </w:pPr>
      <w:r>
        <w:t>FMXPilot.MainForm.fmx contains the developer-placed TDATFMXLanguageManager and TDATFMXLanguageComboBox. The target Pascal and DPROJ files contain no Studio-written integration changes.</w:t>
      </w:r>
    </w:p>
    <w:p>
      <w:pPr>
        <w:pStyle w:val="ListBullet"/>
      </w:pPr>
      <w:r>
        <w:t>No ordinary secondary form receives a manager component.</w:t>
      </w:r>
    </w:p>
    <w:p>
      <w:pPr>
        <w:pStyle w:val="ListBullet"/>
      </w:pPr>
      <w:r>
        <w:t>No Studio-generated DPR startup call or translation unit is added in Component Integration mode.</w:t>
      </w:r>
    </w:p>
    <w:p>
      <w:pPr>
        <w:pStyle w:val="ListBullet"/>
      </w:pPr>
      <w:r>
        <w:t>Every change is readable in Git and reversible before commit.</w:t>
      </w:r>
    </w:p>
    <w:tbl>
      <w:tblPr>
        <w:tblStyle w:val="TableGrid"/>
        <w:jc w:val="center"/>
        <w:tblLook w:firstColumn="1" w:firstRow="1" w:lastColumn="0" w:lastRow="0" w:noHBand="0" w:noVBand="1" w:val="04A0"/>
        <w:tblW w:w="9360" w:type="dxa"/>
        <w:tblInd w:w="120" w:type="dxa"/>
        <w:tblLayout w:type="fixed"/>
        <w:tblCellMar>
          <w:top w:w="80" w:type="dxa"/>
          <w:bottom w:w="80" w:type="dxa"/>
          <w:start w:w="120" w:type="dxa"/>
          <w:end w:w="120" w:type="dxa"/>
        </w:tblCellMar>
      </w:tblPr>
      <w:tblGrid>
        <w:gridCol w:w="1200"/>
        <w:gridCol w:w="2400"/>
        <w:gridCol w:w="1500"/>
        <w:gridCol w:w="4260"/>
      </w:tblGrid>
      <w:tr>
        <w:trPr>
          <w:tblHeader w:val="true"/>
        </w:trPr>
        <w:tc>
          <w:tcPr>
            <w:tcW w:type="dxa" w:w="1200"/>
            <w:shd w:fill="EAF3FF"/>
          </w:tcPr>
          <w:p>
            <w:r>
              <w:rPr>
                <w:rFonts w:ascii="Calibri" w:hAnsi="Calibri"/>
                <w:b/>
                <w:i w:val="0"/>
                <w:color w:val="234C80"/>
                <w:sz w:val="17"/>
              </w:rPr>
              <w:t>Result</w:t>
            </w:r>
          </w:p>
        </w:tc>
        <w:tc>
          <w:tcPr>
            <w:tcW w:type="dxa" w:w="2400"/>
          </w:tcPr>
          <w:p>
            <w:r>
              <w:rPr>
                <w:rFonts w:ascii="Calibri" w:hAnsi="Calibri"/>
                <w:b w:val="0"/>
                <w:i w:val="0"/>
                <w:color w:val="163A63"/>
                <w:sz w:val="17"/>
              </w:rPr>
              <w:t>PASS / FAIL / N/A</w:t>
            </w:r>
          </w:p>
        </w:tc>
        <w:tc>
          <w:tcPr>
            <w:tcW w:type="dxa" w:w="1500"/>
            <w:shd w:fill="EAF3FF"/>
          </w:tcPr>
          <w:p>
            <w:r>
              <w:rPr>
                <w:rFonts w:ascii="Calibri" w:hAnsi="Calibri"/>
                <w:b/>
                <w:i w:val="0"/>
                <w:color w:val="234C80"/>
                <w:sz w:val="17"/>
              </w:rPr>
              <w:t>Tester</w:t>
            </w:r>
          </w:p>
        </w:tc>
        <w:tc>
          <w:tcPr>
            <w:tcW w:type="dxa" w:w="4260"/>
          </w:tcPr>
          <w:p>
            <w:r>
              <w:rPr>
                <w:rFonts w:ascii="Calibri" w:hAnsi="Calibri"/>
                <w:b w:val="0"/>
                <w:i w:val="0"/>
                <w:color w:val="163A63"/>
                <w:sz w:val="17"/>
              </w:rPr>
            </w:r>
          </w:p>
        </w:tc>
      </w:tr>
      <w:tr>
        <w:tc>
          <w:tcPr>
            <w:tcW w:type="dxa" w:w="1200"/>
            <w:shd w:fill="EAF3FF"/>
          </w:tcPr>
          <w:p>
            <w:r>
              <w:rPr>
                <w:rFonts w:ascii="Calibri" w:hAnsi="Calibri"/>
                <w:b/>
                <w:i w:val="0"/>
                <w:color w:val="234C80"/>
                <w:sz w:val="17"/>
              </w:rPr>
              <w:t>Date</w:t>
            </w:r>
          </w:p>
        </w:tc>
        <w:tc>
          <w:tcPr>
            <w:tcW w:type="dxa" w:w="2400"/>
          </w:tcPr>
          <w:p>
            <w:r>
              <w:rPr>
                <w:rFonts w:ascii="Calibri" w:hAnsi="Calibri"/>
                <w:b w:val="0"/>
                <w:i w:val="0"/>
                <w:color w:val="163A63"/>
                <w:sz w:val="17"/>
              </w:rPr>
            </w:r>
          </w:p>
        </w:tc>
        <w:tc>
          <w:tcPr>
            <w:tcW w:type="dxa" w:w="1500"/>
            <w:shd w:fill="EAF3FF"/>
          </w:tcPr>
          <w:p>
            <w:r>
              <w:rPr>
                <w:rFonts w:ascii="Calibri" w:hAnsi="Calibri"/>
                <w:b/>
                <w:i w:val="0"/>
                <w:color w:val="234C80"/>
                <w:sz w:val="17"/>
              </w:rPr>
              <w:t>Defect / notes</w:t>
            </w:r>
          </w:p>
        </w:tc>
        <w:tc>
          <w:tcPr>
            <w:tcW w:type="dxa" w:w="4260"/>
          </w:tcPr>
          <w:p>
            <w:r>
              <w:rPr>
                <w:rFonts w:ascii="Calibri" w:hAnsi="Calibri"/>
                <w:b w:val="0"/>
                <w:i w:val="0"/>
                <w:color w:val="163A63"/>
                <w:sz w:val="17"/>
              </w:rPr>
            </w:r>
          </w:p>
        </w:tc>
      </w:tr>
    </w:tbl>
    <w:p/>
    <w:tbl>
      <w:tblPr>
        <w:jc w:val="center"/>
        <w:tblLook w:firstColumn="1" w:firstRow="1" w:lastColumn="0" w:lastRow="0" w:noHBand="0" w:noVBand="1" w:val="04A0"/>
        <w:tblW w:w="9360" w:type="dxa"/>
        <w:tblInd w:w="120" w:type="dxa"/>
        <w:tblLayout w:type="fixed"/>
        <w:tblCellMar>
          <w:top w:w="80" w:type="dxa"/>
          <w:bottom w:w="80" w:type="dxa"/>
          <w:start w:w="120" w:type="dxa"/>
          <w:end w:w="120" w:type="dxa"/>
        </w:tblCellMar>
      </w:tblPr>
      <w:tblGrid>
        <w:gridCol w:w="9360"/>
      </w:tblGrid>
      <w:tr>
        <w:trPr>
          <w:cantSplit/>
          <w:tblHeader w:val="true"/>
        </w:trPr>
        <w:tc>
          <w:tcPr>
            <w:tcW w:type="dxa" w:w="9360"/>
            <w:shd w:fill="EAF3FF"/>
            <w:vAlign w:val="center"/>
          </w:tcPr>
          <w:p>
            <w:pPr>
              <w:pStyle w:val="Callout"/>
            </w:pPr>
            <w:r>
              <w:rPr>
                <w:b/>
                <w:color w:val="234C80"/>
              </w:rPr>
              <w:t xml:space="preserve">Ninety-form projects. </w:t>
            </w:r>
            <w:r>
              <w:t>One manager on the primary form covers ordinary FMX forms through the additive before-show lifecycle adapter. The developer does not place a component on every form. Use FormIdentityMappings only for inherited or unusually renamed forms whose runtime identity differs from the scanner's form root.</w:t>
            </w:r>
          </w:p>
        </w:tc>
      </w:tr>
    </w:tbl>
    <w:tbl>
      <w:tblPr>
        <w:jc w:val="center"/>
        <w:tblLook w:firstColumn="1" w:firstRow="1" w:lastColumn="0" w:lastRow="0" w:noHBand="0" w:noVBand="1" w:val="04A0"/>
        <w:tblW w:w="9360" w:type="dxa"/>
        <w:tblInd w:w="120" w:type="dxa"/>
        <w:tblLayout w:type="fixed"/>
        <w:tblCellMar>
          <w:top w:w="80" w:type="dxa"/>
          <w:bottom w:w="80" w:type="dxa"/>
          <w:start w:w="120" w:type="dxa"/>
          <w:end w:w="120" w:type="dxa"/>
        </w:tblCellMar>
      </w:tblPr>
      <w:tblGrid>
        <w:gridCol w:w="9360"/>
      </w:tblGrid>
      <w:tr>
        <w:trPr>
          <w:cantSplit/>
          <w:tblHeader w:val="true"/>
        </w:trPr>
        <w:tc>
          <w:tcPr>
            <w:tcW w:type="dxa" w:w="9360"/>
            <w:shd w:fill="EAF3FF"/>
            <w:vAlign w:val="center"/>
          </w:tcPr>
          <w:p>
            <w:pPr>
              <w:pStyle w:val="Callout"/>
            </w:pPr>
            <w:r>
              <w:rPr>
                <w:b/>
                <w:color w:val="234C80"/>
              </w:rPr>
              <w:t xml:space="preserve">Mandatory save checkpoint. </w:t>
            </w:r>
            <w:r>
              <w:t>Do not continue to TC-12 until File &gt; Save All has completed and reopening the form proves that the manager and selector persisted. A successful compile of an older saved form is not evidence that unsaved designer components were included.</w:t>
            </w:r>
          </w:p>
        </w:tc>
      </w:tr>
    </w:tbl>
    <w:p>
      <w:pPr>
        <w:pStyle w:val="Heading2"/>
      </w:pPr>
      <w:r>
        <w:t>TC-12 Build GA4 Win32 and Win64</w:t>
      </w:r>
    </w:p>
    <w:tbl>
      <w:tblPr>
        <w:jc w:val="center"/>
        <w:tblLook w:firstColumn="1" w:firstRow="1" w:lastColumn="0" w:lastRow="0" w:noHBand="0" w:noVBand="1" w:val="04A0"/>
        <w:tblW w:w="9360" w:type="dxa"/>
        <w:tblInd w:w="120" w:type="dxa"/>
        <w:tblLayout w:type="fixed"/>
        <w:tblCellMar>
          <w:top w:w="80" w:type="dxa"/>
          <w:bottom w:w="80" w:type="dxa"/>
          <w:start w:w="120" w:type="dxa"/>
          <w:end w:w="120" w:type="dxa"/>
        </w:tblCellMar>
      </w:tblPr>
      <w:tblGrid>
        <w:gridCol w:w="9360"/>
      </w:tblGrid>
      <w:tr>
        <w:trPr>
          <w:cantSplit/>
          <w:tblHeader w:val="true"/>
        </w:trPr>
        <w:tc>
          <w:tcPr>
            <w:tcW w:type="dxa" w:w="9360"/>
            <w:shd w:fill="EAF3FF"/>
            <w:vAlign w:val="center"/>
          </w:tcPr>
          <w:p>
            <w:pPr>
              <w:pStyle w:val="Callout"/>
            </w:pPr>
            <w:r>
              <w:rPr>
                <w:b/>
                <w:color w:val="234C80"/>
              </w:rPr>
              <w:t xml:space="preserve">Objective. </w:t>
            </w:r>
            <w:r>
              <w:t>Verify the component-first disposable target builds normally for both supported architectures.</w:t>
            </w:r>
          </w:p>
        </w:tc>
      </w:tr>
    </w:tbl>
    <w:p>
      <w:pPr>
        <w:pStyle w:val="Heading3"/>
      </w:pPr>
      <w:r>
        <w:t>Procedure</w:t>
      </w:r>
    </w:p>
    <w:p>
      <w:pPr>
        <w:pStyle w:val="ListNumber"/>
        <w:numPr>
          <w:ilvl w:val="0"/>
          <w:numId w:val="25"/>
        </w:numPr>
      </w:pPr>
      <w:r>
        <w:t>Choose File &gt; Save All once more before changing platforms or building.</w:t>
      </w:r>
    </w:p>
    <w:p>
      <w:pPr>
        <w:pStyle w:val="ListNumber"/>
        <w:numPr>
          <w:ilvl w:val="0"/>
          <w:numId w:val="25"/>
        </w:numPr>
      </w:pPr>
      <w:r>
        <w:t>In RAD Studio select Win32 / Debug and build FMXPilot.</w:t>
      </w:r>
    </w:p>
    <w:p>
      <w:pPr>
        <w:pStyle w:val="ListNumber"/>
        <w:numPr>
          <w:ilvl w:val="0"/>
          <w:numId w:val="25"/>
        </w:numPr>
      </w:pPr>
      <w:r>
        <w:t>Select Win64 / Debug and build FMXPilot.</w:t>
      </w:r>
    </w:p>
    <w:p>
      <w:pPr>
        <w:pStyle w:val="ListNumber"/>
        <w:numPr>
          <w:ilvl w:val="0"/>
          <w:numId w:val="25"/>
        </w:numPr>
      </w:pPr>
      <w:r>
        <w:t>Confirm C:\DelphiProjects\FMXPilot - Component Test\bin\Win32\Debug\FMXPilot.exe exists.</w:t>
      </w:r>
    </w:p>
    <w:p>
      <w:pPr>
        <w:pStyle w:val="ListNumber"/>
        <w:numPr>
          <w:ilvl w:val="0"/>
          <w:numId w:val="25"/>
        </w:numPr>
      </w:pPr>
      <w:r>
        <w:t>Confirm C:\DelphiProjects\FMXPilot - Component Test\bin\Win64\Debug\FMXPilot.exe exists.</w:t>
      </w:r>
    </w:p>
    <w:p>
      <w:pPr>
        <w:pStyle w:val="ListNumber"/>
        <w:numPr>
          <w:ilvl w:val="0"/>
          <w:numId w:val="25"/>
        </w:numPr>
      </w:pPr>
      <w:r>
        <w:t>Resolve any search-path problem by checking the ComponentSource path for the affected platform/configuration; do not copy random DCUs into the target.</w:t>
      </w:r>
    </w:p>
    <w:p>
      <w:pPr>
        <w:pStyle w:val="Heading3"/>
      </w:pPr>
      <w:r>
        <w:t>Expected result</w:t>
      </w:r>
    </w:p>
    <w:p>
      <w:pPr>
        <w:pStyle w:val="ListBullet"/>
      </w:pPr>
      <w:r>
        <w:t>Both builds finish with no compiler or linker errors.</w:t>
      </w:r>
    </w:p>
    <w:p>
      <w:pPr>
        <w:pStyle w:val="ListBullet"/>
      </w:pPr>
      <w:r>
        <w:t>The target contains the manager and selector through normal compiled source/designer resources.</w:t>
      </w:r>
    </w:p>
    <w:p>
      <w:pPr>
        <w:pStyle w:val="ListBullet"/>
      </w:pPr>
      <w:r>
        <w:t>No provider credential is linked into either executable.</w:t>
      </w:r>
    </w:p>
    <w:tbl>
      <w:tblPr>
        <w:tblStyle w:val="TableGrid"/>
        <w:jc w:val="center"/>
        <w:tblLook w:firstColumn="1" w:firstRow="1" w:lastColumn="0" w:lastRow="0" w:noHBand="0" w:noVBand="1" w:val="04A0"/>
        <w:tblW w:w="9360" w:type="dxa"/>
        <w:tblInd w:w="120" w:type="dxa"/>
        <w:tblLayout w:type="fixed"/>
        <w:tblCellMar>
          <w:top w:w="80" w:type="dxa"/>
          <w:bottom w:w="80" w:type="dxa"/>
          <w:start w:w="120" w:type="dxa"/>
          <w:end w:w="120" w:type="dxa"/>
        </w:tblCellMar>
      </w:tblPr>
      <w:tblGrid>
        <w:gridCol w:w="1200"/>
        <w:gridCol w:w="2400"/>
        <w:gridCol w:w="1500"/>
        <w:gridCol w:w="4260"/>
      </w:tblGrid>
      <w:tr>
        <w:trPr>
          <w:tblHeader w:val="true"/>
        </w:trPr>
        <w:tc>
          <w:tcPr>
            <w:tcW w:type="dxa" w:w="1200"/>
            <w:shd w:fill="EAF3FF"/>
          </w:tcPr>
          <w:p>
            <w:r>
              <w:rPr>
                <w:rFonts w:ascii="Calibri" w:hAnsi="Calibri"/>
                <w:b/>
                <w:i w:val="0"/>
                <w:color w:val="234C80"/>
                <w:sz w:val="17"/>
              </w:rPr>
              <w:t>Result</w:t>
            </w:r>
          </w:p>
        </w:tc>
        <w:tc>
          <w:tcPr>
            <w:tcW w:type="dxa" w:w="2400"/>
          </w:tcPr>
          <w:p>
            <w:r>
              <w:rPr>
                <w:rFonts w:ascii="Calibri" w:hAnsi="Calibri"/>
                <w:b w:val="0"/>
                <w:i w:val="0"/>
                <w:color w:val="163A63"/>
                <w:sz w:val="17"/>
              </w:rPr>
              <w:t>PASS / FAIL / N/A</w:t>
            </w:r>
          </w:p>
        </w:tc>
        <w:tc>
          <w:tcPr>
            <w:tcW w:type="dxa" w:w="1500"/>
            <w:shd w:fill="EAF3FF"/>
          </w:tcPr>
          <w:p>
            <w:r>
              <w:rPr>
                <w:rFonts w:ascii="Calibri" w:hAnsi="Calibri"/>
                <w:b/>
                <w:i w:val="0"/>
                <w:color w:val="234C80"/>
                <w:sz w:val="17"/>
              </w:rPr>
              <w:t>Tester</w:t>
            </w:r>
          </w:p>
        </w:tc>
        <w:tc>
          <w:tcPr>
            <w:tcW w:type="dxa" w:w="4260"/>
          </w:tcPr>
          <w:p>
            <w:r>
              <w:rPr>
                <w:rFonts w:ascii="Calibri" w:hAnsi="Calibri"/>
                <w:b w:val="0"/>
                <w:i w:val="0"/>
                <w:color w:val="163A63"/>
                <w:sz w:val="17"/>
              </w:rPr>
            </w:r>
          </w:p>
        </w:tc>
      </w:tr>
      <w:tr>
        <w:tc>
          <w:tcPr>
            <w:tcW w:type="dxa" w:w="1200"/>
            <w:shd w:fill="EAF3FF"/>
          </w:tcPr>
          <w:p>
            <w:r>
              <w:rPr>
                <w:rFonts w:ascii="Calibri" w:hAnsi="Calibri"/>
                <w:b/>
                <w:i w:val="0"/>
                <w:color w:val="234C80"/>
                <w:sz w:val="17"/>
              </w:rPr>
              <w:t>Date</w:t>
            </w:r>
          </w:p>
        </w:tc>
        <w:tc>
          <w:tcPr>
            <w:tcW w:type="dxa" w:w="2400"/>
          </w:tcPr>
          <w:p>
            <w:r>
              <w:rPr>
                <w:rFonts w:ascii="Calibri" w:hAnsi="Calibri"/>
                <w:b w:val="0"/>
                <w:i w:val="0"/>
                <w:color w:val="163A63"/>
                <w:sz w:val="17"/>
              </w:rPr>
            </w:r>
          </w:p>
        </w:tc>
        <w:tc>
          <w:tcPr>
            <w:tcW w:type="dxa" w:w="1500"/>
            <w:shd w:fill="EAF3FF"/>
          </w:tcPr>
          <w:p>
            <w:r>
              <w:rPr>
                <w:rFonts w:ascii="Calibri" w:hAnsi="Calibri"/>
                <w:b/>
                <w:i w:val="0"/>
                <w:color w:val="234C80"/>
                <w:sz w:val="17"/>
              </w:rPr>
              <w:t>Defect / notes</w:t>
            </w:r>
          </w:p>
        </w:tc>
        <w:tc>
          <w:tcPr>
            <w:tcW w:type="dxa" w:w="4260"/>
          </w:tcPr>
          <w:p>
            <w:r>
              <w:rPr>
                <w:rFonts w:ascii="Calibri" w:hAnsi="Calibri"/>
                <w:b w:val="0"/>
                <w:i w:val="0"/>
                <w:color w:val="163A63"/>
                <w:sz w:val="17"/>
              </w:rPr>
            </w:r>
          </w:p>
        </w:tc>
      </w:tr>
    </w:tbl>
    <w:p/>
    <w:p>
      <w:pPr>
        <w:pStyle w:val="Heading2"/>
      </w:pPr>
      <w:r>
        <w:t>TC-13 Deploy language packs</w:t>
      </w:r>
    </w:p>
    <w:tbl>
      <w:tblPr>
        <w:jc w:val="center"/>
        <w:tblLook w:firstColumn="1" w:firstRow="1" w:lastColumn="0" w:lastRow="0" w:noHBand="0" w:noVBand="1" w:val="04A0"/>
        <w:tblW w:w="9360" w:type="dxa"/>
        <w:tblInd w:w="120" w:type="dxa"/>
        <w:tblLayout w:type="fixed"/>
        <w:tblCellMar>
          <w:top w:w="80" w:type="dxa"/>
          <w:bottom w:w="80" w:type="dxa"/>
          <w:start w:w="120" w:type="dxa"/>
          <w:end w:w="120" w:type="dxa"/>
        </w:tblCellMar>
      </w:tblPr>
      <w:tblGrid>
        <w:gridCol w:w="9360"/>
      </w:tblGrid>
      <w:tr>
        <w:trPr>
          <w:cantSplit/>
          <w:tblHeader w:val="true"/>
        </w:trPr>
        <w:tc>
          <w:tcPr>
            <w:tcW w:type="dxa" w:w="9360"/>
            <w:shd w:fill="EAF3FF"/>
            <w:vAlign w:val="center"/>
          </w:tcPr>
          <w:p>
            <w:pPr>
              <w:pStyle w:val="Callout"/>
            </w:pPr>
            <w:r>
              <w:rPr>
                <w:b/>
                <w:color w:val="234C80"/>
              </w:rPr>
              <w:t xml:space="preserve">Objective. </w:t>
            </w:r>
            <w:r>
              <w:t>Place identical local JSON assets beside each executable without copying development catalogs or credentials.</w:t>
            </w:r>
          </w:p>
        </w:tc>
      </w:tr>
    </w:tbl>
    <w:p>
      <w:pPr>
        <w:pStyle w:val="Heading3"/>
      </w:pPr>
      <w:r>
        <w:t>Procedure</w:t>
      </w:r>
    </w:p>
    <w:p>
      <w:pPr>
        <w:pStyle w:val="ListNumber"/>
        <w:numPr>
          <w:ilvl w:val="0"/>
          <w:numId w:val="26"/>
        </w:numPr>
      </w:pPr>
      <w:r>
        <w:t>Open PowerShell. Use the explicit ExecutionPolicy Bypass commands printed immediately below this test case.</w:t>
      </w:r>
    </w:p>
    <w:p>
      <w:pPr>
        <w:pStyle w:val="ListNumber"/>
        <w:numPr>
          <w:ilvl w:val="0"/>
          <w:numId w:val="26"/>
        </w:numPr>
      </w:pPr>
      <w:r>
        <w:t>Run the bypass command for C:\DelphiProjects\FMXPilot - Component Test\bin\Win32\Debug.</w:t>
      </w:r>
    </w:p>
    <w:p>
      <w:pPr>
        <w:pStyle w:val="ListNumber"/>
        <w:numPr>
          <w:ilvl w:val="0"/>
          <w:numId w:val="26"/>
        </w:numPr>
      </w:pPr>
      <w:r>
        <w:t>Run the bypass command for C:\DelphiProjects\FMXPilot - Component Test\bin\Win64\Debug.</w:t>
      </w:r>
    </w:p>
    <w:p>
      <w:pPr>
        <w:pStyle w:val="ListNumber"/>
        <w:numPr>
          <w:ilvl w:val="0"/>
          <w:numId w:val="26"/>
        </w:numPr>
      </w:pPr>
      <w:r>
        <w:t>Inspect both Localization\Languages folders.</w:t>
      </w:r>
    </w:p>
    <w:p>
      <w:pPr>
        <w:pStyle w:val="Heading3"/>
      </w:pPr>
      <w:r>
        <w:t>Expected result</w:t>
      </w:r>
    </w:p>
    <w:p>
      <w:pPr>
        <w:pStyle w:val="ListBullet"/>
      </w:pPr>
      <w:r>
        <w:t>Each executable directory contains Localization\Languages\en-US.json and the translated &lt;locale&gt;.json.</w:t>
      </w:r>
    </w:p>
    <w:p>
      <w:pPr>
        <w:pStyle w:val="ListBullet"/>
      </w:pPr>
      <w:r>
        <w:t>No Localization\Development folder is deployed beside the executable.</w:t>
      </w:r>
    </w:p>
    <w:p>
      <w:pPr>
        <w:pStyle w:val="ListBullet"/>
      </w:pPr>
      <w:r>
        <w:t>No API key, provider settings JSON, or credential artifact is deployed.</w:t>
      </w:r>
    </w:p>
    <w:tbl>
      <w:tblPr>
        <w:tblStyle w:val="TableGrid"/>
        <w:jc w:val="center"/>
        <w:tblLook w:firstColumn="1" w:firstRow="1" w:lastColumn="0" w:lastRow="0" w:noHBand="0" w:noVBand="1" w:val="04A0"/>
        <w:tblW w:w="9360" w:type="dxa"/>
        <w:tblInd w:w="120" w:type="dxa"/>
        <w:tblLayout w:type="fixed"/>
        <w:tblCellMar>
          <w:top w:w="80" w:type="dxa"/>
          <w:bottom w:w="80" w:type="dxa"/>
          <w:start w:w="120" w:type="dxa"/>
          <w:end w:w="120" w:type="dxa"/>
        </w:tblCellMar>
      </w:tblPr>
      <w:tblGrid>
        <w:gridCol w:w="1200"/>
        <w:gridCol w:w="2400"/>
        <w:gridCol w:w="1500"/>
        <w:gridCol w:w="4260"/>
      </w:tblGrid>
      <w:tr>
        <w:trPr>
          <w:tblHeader w:val="true"/>
        </w:trPr>
        <w:tc>
          <w:tcPr>
            <w:tcW w:type="dxa" w:w="1200"/>
            <w:shd w:fill="EAF3FF"/>
          </w:tcPr>
          <w:p>
            <w:r>
              <w:rPr>
                <w:rFonts w:ascii="Calibri" w:hAnsi="Calibri"/>
                <w:b/>
                <w:i w:val="0"/>
                <w:color w:val="234C80"/>
                <w:sz w:val="17"/>
              </w:rPr>
              <w:t>Result</w:t>
            </w:r>
          </w:p>
        </w:tc>
        <w:tc>
          <w:tcPr>
            <w:tcW w:type="dxa" w:w="2400"/>
          </w:tcPr>
          <w:p>
            <w:r>
              <w:rPr>
                <w:rFonts w:ascii="Calibri" w:hAnsi="Calibri"/>
                <w:b w:val="0"/>
                <w:i w:val="0"/>
                <w:color w:val="163A63"/>
                <w:sz w:val="17"/>
              </w:rPr>
              <w:t>PASS / FAIL / N/A</w:t>
            </w:r>
          </w:p>
        </w:tc>
        <w:tc>
          <w:tcPr>
            <w:tcW w:type="dxa" w:w="1500"/>
            <w:shd w:fill="EAF3FF"/>
          </w:tcPr>
          <w:p>
            <w:r>
              <w:rPr>
                <w:rFonts w:ascii="Calibri" w:hAnsi="Calibri"/>
                <w:b/>
                <w:i w:val="0"/>
                <w:color w:val="234C80"/>
                <w:sz w:val="17"/>
              </w:rPr>
              <w:t>Tester</w:t>
            </w:r>
          </w:p>
        </w:tc>
        <w:tc>
          <w:tcPr>
            <w:tcW w:type="dxa" w:w="4260"/>
          </w:tcPr>
          <w:p>
            <w:r>
              <w:rPr>
                <w:rFonts w:ascii="Calibri" w:hAnsi="Calibri"/>
                <w:b w:val="0"/>
                <w:i w:val="0"/>
                <w:color w:val="163A63"/>
                <w:sz w:val="17"/>
              </w:rPr>
            </w:r>
          </w:p>
        </w:tc>
      </w:tr>
      <w:tr>
        <w:tc>
          <w:tcPr>
            <w:tcW w:type="dxa" w:w="1200"/>
            <w:shd w:fill="EAF3FF"/>
          </w:tcPr>
          <w:p>
            <w:r>
              <w:rPr>
                <w:rFonts w:ascii="Calibri" w:hAnsi="Calibri"/>
                <w:b/>
                <w:i w:val="0"/>
                <w:color w:val="234C80"/>
                <w:sz w:val="17"/>
              </w:rPr>
              <w:t>Date</w:t>
            </w:r>
          </w:p>
        </w:tc>
        <w:tc>
          <w:tcPr>
            <w:tcW w:type="dxa" w:w="2400"/>
          </w:tcPr>
          <w:p>
            <w:r>
              <w:rPr>
                <w:rFonts w:ascii="Calibri" w:hAnsi="Calibri"/>
                <w:b w:val="0"/>
                <w:i w:val="0"/>
                <w:color w:val="163A63"/>
                <w:sz w:val="17"/>
              </w:rPr>
            </w:r>
          </w:p>
        </w:tc>
        <w:tc>
          <w:tcPr>
            <w:tcW w:type="dxa" w:w="1500"/>
            <w:shd w:fill="EAF3FF"/>
          </w:tcPr>
          <w:p>
            <w:r>
              <w:rPr>
                <w:rFonts w:ascii="Calibri" w:hAnsi="Calibri"/>
                <w:b/>
                <w:i w:val="0"/>
                <w:color w:val="234C80"/>
                <w:sz w:val="17"/>
              </w:rPr>
              <w:t>Defect / notes</w:t>
            </w:r>
          </w:p>
        </w:tc>
        <w:tc>
          <w:tcPr>
            <w:tcW w:type="dxa" w:w="4260"/>
          </w:tcPr>
          <w:p>
            <w:r>
              <w:rPr>
                <w:rFonts w:ascii="Calibri" w:hAnsi="Calibri"/>
                <w:b w:val="0"/>
                <w:i w:val="0"/>
                <w:color w:val="163A63"/>
                <w:sz w:val="17"/>
              </w:rPr>
            </w:r>
          </w:p>
        </w:tc>
      </w:tr>
    </w:tbl>
    <w:p/>
    <w:p>
      <w:pPr>
        <w:pStyle w:val="Heading3"/>
      </w:pPr>
      <w:r>
        <w:t>Use these exact commands, substituting the generated kit only if the project name changes:</w:t>
      </w:r>
    </w:p>
    <w:p>
      <w:pPr>
        <w:pStyle w:val="CodeBlock"/>
      </w:pPr>
      <w:r>
        <w:t>&amp; "C:\Windows\System32\WindowsPowerShell\v1.0\powershell.exe" -NoProfile -ExecutionPolicy Bypass -File "C:\DelphiProjects\Delphi App Translation\export\component-integration\FMXPilot\Deploy-LanguagePacks.ps1" -ApplicationDirectory "C:\DelphiProjects\FMXPilot - Component Test\bin\Win32\Debug"</w:t>
      </w:r>
    </w:p>
    <w:p>
      <w:pPr>
        <w:pStyle w:val="CodeBlock"/>
      </w:pPr>
      <w:r>
        <w:t>&amp; "C:\Windows\System32\WindowsPowerShell\v1.0\powershell.exe" -NoProfile -ExecutionPolicy Bypass -File "C:\DelphiProjects\Delphi App Translation\export\component-integration\FMXPilot\Deploy-LanguagePacks.ps1" -ApplicationDirectory "C:\DelphiProjects\FMXPilot - Component Test\bin\Win64\Debug"</w:t>
      </w:r>
    </w:p>
    <w:p>
      <w:pPr>
        <w:pStyle w:val="Heading1"/>
      </w:pPr>
      <w:r>
        <w:t>8. Runtime Acceptance</w:t>
      </w:r>
    </w:p>
    <w:p>
      <w:pPr>
        <w:pStyle w:val="Heading2"/>
      </w:pPr>
      <w:r>
        <w:t>TC-14 First launch and source language</w:t>
      </w:r>
    </w:p>
    <w:tbl>
      <w:tblPr>
        <w:jc w:val="center"/>
        <w:tblLook w:firstColumn="1" w:firstRow="1" w:lastColumn="0" w:lastRow="0" w:noHBand="0" w:noVBand="1" w:val="04A0"/>
        <w:tblW w:w="9360" w:type="dxa"/>
        <w:tblInd w:w="120" w:type="dxa"/>
        <w:tblLayout w:type="fixed"/>
        <w:tblCellMar>
          <w:top w:w="80" w:type="dxa"/>
          <w:bottom w:w="80" w:type="dxa"/>
          <w:start w:w="120" w:type="dxa"/>
          <w:end w:w="120" w:type="dxa"/>
        </w:tblCellMar>
      </w:tblPr>
      <w:tblGrid>
        <w:gridCol w:w="9360"/>
      </w:tblGrid>
      <w:tr>
        <w:trPr>
          <w:cantSplit/>
          <w:tblHeader w:val="true"/>
        </w:trPr>
        <w:tc>
          <w:tcPr>
            <w:tcW w:type="dxa" w:w="9360"/>
            <w:shd w:fill="EAF3FF"/>
            <w:vAlign w:val="center"/>
          </w:tcPr>
          <w:p>
            <w:pPr>
              <w:pStyle w:val="Callout"/>
            </w:pPr>
            <w:r>
              <w:rPr>
                <w:b/>
                <w:color w:val="234C80"/>
              </w:rPr>
              <w:t xml:space="preserve">Objective. </w:t>
            </w:r>
            <w:r>
              <w:t>Verify a fresh profile opens normally and the English source pack is available.</w:t>
            </w:r>
          </w:p>
        </w:tc>
      </w:tr>
    </w:tbl>
    <w:p>
      <w:pPr>
        <w:pStyle w:val="Heading3"/>
      </w:pPr>
      <w:r>
        <w:t>Procedure</w:t>
      </w:r>
    </w:p>
    <w:p>
      <w:pPr>
        <w:pStyle w:val="ListNumber"/>
        <w:numPr>
          <w:ilvl w:val="0"/>
          <w:numId w:val="27"/>
        </w:numPr>
      </w:pPr>
      <w:r>
        <w:t>Remove only the disposable test preference file, if present: %LOCALAPPDATA%\FMXPilot\language.ini.</w:t>
      </w:r>
    </w:p>
    <w:p>
      <w:pPr>
        <w:pStyle w:val="ListNumber"/>
        <w:numPr>
          <w:ilvl w:val="0"/>
          <w:numId w:val="27"/>
        </w:numPr>
      </w:pPr>
      <w:r>
        <w:t>Run C:\DelphiProjects\FMXPilot - Component Test\bin\Win32\Debug\FMXPilot.exe.</w:t>
      </w:r>
    </w:p>
    <w:p>
      <w:pPr>
        <w:pStyle w:val="ListNumber"/>
        <w:numPr>
          <w:ilvl w:val="0"/>
          <w:numId w:val="27"/>
        </w:numPr>
      </w:pPr>
      <w:r>
        <w:t>Inspect the title, primary controls, language selector, date-range control, and application data.</w:t>
      </w:r>
    </w:p>
    <w:p>
      <w:pPr>
        <w:pStyle w:val="ListNumber"/>
        <w:numPr>
          <w:ilvl w:val="0"/>
          <w:numId w:val="27"/>
        </w:numPr>
      </w:pPr>
      <w:r>
        <w:t>Open representative secondary forms such as Settings, Property Manager, and Diagnostics.</w:t>
      </w:r>
    </w:p>
    <w:p>
      <w:pPr>
        <w:pStyle w:val="Heading3"/>
      </w:pPr>
      <w:r>
        <w:t>Expected result</w:t>
      </w:r>
    </w:p>
    <w:p>
      <w:pPr>
        <w:pStyle w:val="ListBullet"/>
      </w:pPr>
      <w:r>
        <w:t>The application opens without EArgumentNilException or 'An FMX form is required.'</w:t>
      </w:r>
    </w:p>
    <w:p>
      <w:pPr>
        <w:pStyle w:val="ListBullet"/>
      </w:pPr>
      <w:r>
        <w:t>The source language is English and the selector lists canonical native names and locale codes.</w:t>
      </w:r>
    </w:p>
    <w:p>
      <w:pPr>
        <w:pStyle w:val="ListBullet"/>
      </w:pPr>
      <w:r>
        <w:t>No malformed or mojibake language names appear.</w:t>
      </w:r>
    </w:p>
    <w:p>
      <w:pPr>
        <w:pStyle w:val="ListBullet"/>
      </w:pPr>
      <w:r>
        <w:t>Secondary forms open normally and remain in the source language until another selection is made.</w:t>
      </w:r>
    </w:p>
    <w:tbl>
      <w:tblPr>
        <w:tblStyle w:val="TableGrid"/>
        <w:jc w:val="center"/>
        <w:tblLook w:firstColumn="1" w:firstRow="1" w:lastColumn="0" w:lastRow="0" w:noHBand="0" w:noVBand="1" w:val="04A0"/>
        <w:tblW w:w="9360" w:type="dxa"/>
        <w:tblInd w:w="120" w:type="dxa"/>
        <w:tblLayout w:type="fixed"/>
        <w:tblCellMar>
          <w:top w:w="80" w:type="dxa"/>
          <w:bottom w:w="80" w:type="dxa"/>
          <w:start w:w="120" w:type="dxa"/>
          <w:end w:w="120" w:type="dxa"/>
        </w:tblCellMar>
      </w:tblPr>
      <w:tblGrid>
        <w:gridCol w:w="1200"/>
        <w:gridCol w:w="2400"/>
        <w:gridCol w:w="1500"/>
        <w:gridCol w:w="4260"/>
      </w:tblGrid>
      <w:tr>
        <w:trPr>
          <w:tblHeader w:val="true"/>
        </w:trPr>
        <w:tc>
          <w:tcPr>
            <w:tcW w:type="dxa" w:w="1200"/>
            <w:shd w:fill="EAF3FF"/>
          </w:tcPr>
          <w:p>
            <w:r>
              <w:rPr>
                <w:rFonts w:ascii="Calibri" w:hAnsi="Calibri"/>
                <w:b/>
                <w:i w:val="0"/>
                <w:color w:val="234C80"/>
                <w:sz w:val="17"/>
              </w:rPr>
              <w:t>Result</w:t>
            </w:r>
          </w:p>
        </w:tc>
        <w:tc>
          <w:tcPr>
            <w:tcW w:type="dxa" w:w="2400"/>
          </w:tcPr>
          <w:p>
            <w:r>
              <w:rPr>
                <w:rFonts w:ascii="Calibri" w:hAnsi="Calibri"/>
                <w:b w:val="0"/>
                <w:i w:val="0"/>
                <w:color w:val="163A63"/>
                <w:sz w:val="17"/>
              </w:rPr>
              <w:t>PASS / FAIL / N/A</w:t>
            </w:r>
          </w:p>
        </w:tc>
        <w:tc>
          <w:tcPr>
            <w:tcW w:type="dxa" w:w="1500"/>
            <w:shd w:fill="EAF3FF"/>
          </w:tcPr>
          <w:p>
            <w:r>
              <w:rPr>
                <w:rFonts w:ascii="Calibri" w:hAnsi="Calibri"/>
                <w:b/>
                <w:i w:val="0"/>
                <w:color w:val="234C80"/>
                <w:sz w:val="17"/>
              </w:rPr>
              <w:t>Tester</w:t>
            </w:r>
          </w:p>
        </w:tc>
        <w:tc>
          <w:tcPr>
            <w:tcW w:type="dxa" w:w="4260"/>
          </w:tcPr>
          <w:p>
            <w:r>
              <w:rPr>
                <w:rFonts w:ascii="Calibri" w:hAnsi="Calibri"/>
                <w:b w:val="0"/>
                <w:i w:val="0"/>
                <w:color w:val="163A63"/>
                <w:sz w:val="17"/>
              </w:rPr>
            </w:r>
          </w:p>
        </w:tc>
      </w:tr>
      <w:tr>
        <w:tc>
          <w:tcPr>
            <w:tcW w:type="dxa" w:w="1200"/>
            <w:shd w:fill="EAF3FF"/>
          </w:tcPr>
          <w:p>
            <w:r>
              <w:rPr>
                <w:rFonts w:ascii="Calibri" w:hAnsi="Calibri"/>
                <w:b/>
                <w:i w:val="0"/>
                <w:color w:val="234C80"/>
                <w:sz w:val="17"/>
              </w:rPr>
              <w:t>Date</w:t>
            </w:r>
          </w:p>
        </w:tc>
        <w:tc>
          <w:tcPr>
            <w:tcW w:type="dxa" w:w="2400"/>
          </w:tcPr>
          <w:p>
            <w:r>
              <w:rPr>
                <w:rFonts w:ascii="Calibri" w:hAnsi="Calibri"/>
                <w:b w:val="0"/>
                <w:i w:val="0"/>
                <w:color w:val="163A63"/>
                <w:sz w:val="17"/>
              </w:rPr>
            </w:r>
          </w:p>
        </w:tc>
        <w:tc>
          <w:tcPr>
            <w:tcW w:type="dxa" w:w="1500"/>
            <w:shd w:fill="EAF3FF"/>
          </w:tcPr>
          <w:p>
            <w:r>
              <w:rPr>
                <w:rFonts w:ascii="Calibri" w:hAnsi="Calibri"/>
                <w:b/>
                <w:i w:val="0"/>
                <w:color w:val="234C80"/>
                <w:sz w:val="17"/>
              </w:rPr>
              <w:t>Defect / notes</w:t>
            </w:r>
          </w:p>
        </w:tc>
        <w:tc>
          <w:tcPr>
            <w:tcW w:type="dxa" w:w="4260"/>
          </w:tcPr>
          <w:p>
            <w:r>
              <w:rPr>
                <w:rFonts w:ascii="Calibri" w:hAnsi="Calibri"/>
                <w:b w:val="0"/>
                <w:i w:val="0"/>
                <w:color w:val="163A63"/>
                <w:sz w:val="17"/>
              </w:rPr>
            </w:r>
          </w:p>
        </w:tc>
      </w:tr>
    </w:tbl>
    <w:p/>
    <w:p>
      <w:pPr>
        <w:pStyle w:val="Heading2"/>
      </w:pPr>
      <w:r>
        <w:t>TC-15 Immediate language switching</w:t>
      </w:r>
    </w:p>
    <w:tbl>
      <w:tblPr>
        <w:jc w:val="center"/>
        <w:tblLook w:firstColumn="1" w:firstRow="1" w:lastColumn="0" w:lastRow="0" w:noHBand="0" w:noVBand="1" w:val="04A0"/>
        <w:tblW w:w="9360" w:type="dxa"/>
        <w:tblInd w:w="120" w:type="dxa"/>
        <w:tblLayout w:type="fixed"/>
        <w:tblCellMar>
          <w:top w:w="80" w:type="dxa"/>
          <w:bottom w:w="80" w:type="dxa"/>
          <w:start w:w="120" w:type="dxa"/>
          <w:end w:w="120" w:type="dxa"/>
        </w:tblCellMar>
      </w:tblPr>
      <w:tblGrid>
        <w:gridCol w:w="9360"/>
      </w:tblGrid>
      <w:tr>
        <w:trPr>
          <w:cantSplit/>
          <w:tblHeader w:val="true"/>
        </w:trPr>
        <w:tc>
          <w:tcPr>
            <w:tcW w:type="dxa" w:w="9360"/>
            <w:shd w:fill="EAF3FF"/>
            <w:vAlign w:val="center"/>
          </w:tcPr>
          <w:p>
            <w:pPr>
              <w:pStyle w:val="Callout"/>
            </w:pPr>
            <w:r>
              <w:rPr>
                <w:b/>
                <w:color w:val="234C80"/>
              </w:rPr>
              <w:t xml:space="preserve">Objective. </w:t>
            </w:r>
            <w:r>
              <w:t>Verify a selection applies immediately to every open form without restarting.</w:t>
            </w:r>
          </w:p>
        </w:tc>
      </w:tr>
    </w:tbl>
    <w:p>
      <w:pPr>
        <w:pStyle w:val="Heading3"/>
      </w:pPr>
      <w:r>
        <w:t>Procedure</w:t>
      </w:r>
    </w:p>
    <w:p>
      <w:pPr>
        <w:pStyle w:val="ListNumber"/>
        <w:numPr>
          <w:ilvl w:val="0"/>
          <w:numId w:val="28"/>
        </w:numPr>
      </w:pPr>
      <w:r>
        <w:t>Keep the primary form and at least one secondary form open.</w:t>
      </w:r>
    </w:p>
    <w:p>
      <w:pPr>
        <w:pStyle w:val="ListNumber"/>
        <w:numPr>
          <w:ilvl w:val="0"/>
          <w:numId w:val="28"/>
        </w:numPr>
      </w:pPr>
      <w:r>
        <w:t>Select the translated language in TDATFMXLanguageComboBox.</w:t>
      </w:r>
    </w:p>
    <w:p>
      <w:pPr>
        <w:pStyle w:val="ListNumber"/>
        <w:numPr>
          <w:ilvl w:val="0"/>
          <w:numId w:val="28"/>
        </w:numPr>
      </w:pPr>
      <w:r>
        <w:t>Observe the application title, headings, labels, buttons, menu/list text, hints where practical, and the already-open secondary form.</w:t>
      </w:r>
    </w:p>
    <w:p>
      <w:pPr>
        <w:pStyle w:val="ListNumber"/>
        <w:numPr>
          <w:ilvl w:val="0"/>
          <w:numId w:val="28"/>
        </w:numPr>
      </w:pPr>
      <w:r>
        <w:t>Open another secondary form after the language change.</w:t>
      </w:r>
    </w:p>
    <w:p>
      <w:pPr>
        <w:pStyle w:val="ListNumber"/>
        <w:numPr>
          <w:ilvl w:val="0"/>
          <w:numId w:val="28"/>
        </w:numPr>
      </w:pPr>
      <w:r>
        <w:t>Switch back to en-US.</w:t>
      </w:r>
    </w:p>
    <w:p>
      <w:pPr>
        <w:pStyle w:val="Heading3"/>
      </w:pPr>
      <w:r>
        <w:t>Expected result</w:t>
      </w:r>
    </w:p>
    <w:p>
      <w:pPr>
        <w:pStyle w:val="ListBullet"/>
      </w:pPr>
      <w:r>
        <w:t>All currently open eligible forms refresh immediately.</w:t>
      </w:r>
    </w:p>
    <w:p>
      <w:pPr>
        <w:pStyle w:val="ListBullet"/>
      </w:pPr>
      <w:r>
        <w:t>A form opened after the change appears translated before first paint.</w:t>
      </w:r>
    </w:p>
    <w:p>
      <w:pPr>
        <w:pStyle w:val="ListBullet"/>
      </w:pPr>
      <w:r>
        <w:t>Switching to en-US restores deterministic English from en-US.json.</w:t>
      </w:r>
    </w:p>
    <w:p>
      <w:pPr>
        <w:pStyle w:val="ListBullet"/>
      </w:pPr>
      <w:r>
        <w:t>No application restart is required for either direction.</w:t>
      </w:r>
    </w:p>
    <w:tbl>
      <w:tblPr>
        <w:tblStyle w:val="TableGrid"/>
        <w:jc w:val="center"/>
        <w:tblLook w:firstColumn="1" w:firstRow="1" w:lastColumn="0" w:lastRow="0" w:noHBand="0" w:noVBand="1" w:val="04A0"/>
        <w:tblW w:w="9360" w:type="dxa"/>
        <w:tblInd w:w="120" w:type="dxa"/>
        <w:tblLayout w:type="fixed"/>
        <w:tblCellMar>
          <w:top w:w="80" w:type="dxa"/>
          <w:bottom w:w="80" w:type="dxa"/>
          <w:start w:w="120" w:type="dxa"/>
          <w:end w:w="120" w:type="dxa"/>
        </w:tblCellMar>
      </w:tblPr>
      <w:tblGrid>
        <w:gridCol w:w="1200"/>
        <w:gridCol w:w="2400"/>
        <w:gridCol w:w="1500"/>
        <w:gridCol w:w="4260"/>
      </w:tblGrid>
      <w:tr>
        <w:trPr>
          <w:tblHeader w:val="true"/>
        </w:trPr>
        <w:tc>
          <w:tcPr>
            <w:tcW w:type="dxa" w:w="1200"/>
            <w:shd w:fill="EAF3FF"/>
          </w:tcPr>
          <w:p>
            <w:r>
              <w:rPr>
                <w:rFonts w:ascii="Calibri" w:hAnsi="Calibri"/>
                <w:b/>
                <w:i w:val="0"/>
                <w:color w:val="234C80"/>
                <w:sz w:val="17"/>
              </w:rPr>
              <w:t>Result</w:t>
            </w:r>
          </w:p>
        </w:tc>
        <w:tc>
          <w:tcPr>
            <w:tcW w:type="dxa" w:w="2400"/>
          </w:tcPr>
          <w:p>
            <w:r>
              <w:rPr>
                <w:rFonts w:ascii="Calibri" w:hAnsi="Calibri"/>
                <w:b w:val="0"/>
                <w:i w:val="0"/>
                <w:color w:val="163A63"/>
                <w:sz w:val="17"/>
              </w:rPr>
              <w:t>PASS / FAIL / N/A</w:t>
            </w:r>
          </w:p>
        </w:tc>
        <w:tc>
          <w:tcPr>
            <w:tcW w:type="dxa" w:w="1500"/>
            <w:shd w:fill="EAF3FF"/>
          </w:tcPr>
          <w:p>
            <w:r>
              <w:rPr>
                <w:rFonts w:ascii="Calibri" w:hAnsi="Calibri"/>
                <w:b/>
                <w:i w:val="0"/>
                <w:color w:val="234C80"/>
                <w:sz w:val="17"/>
              </w:rPr>
              <w:t>Tester</w:t>
            </w:r>
          </w:p>
        </w:tc>
        <w:tc>
          <w:tcPr>
            <w:tcW w:type="dxa" w:w="4260"/>
          </w:tcPr>
          <w:p>
            <w:r>
              <w:rPr>
                <w:rFonts w:ascii="Calibri" w:hAnsi="Calibri"/>
                <w:b w:val="0"/>
                <w:i w:val="0"/>
                <w:color w:val="163A63"/>
                <w:sz w:val="17"/>
              </w:rPr>
            </w:r>
          </w:p>
        </w:tc>
      </w:tr>
      <w:tr>
        <w:tc>
          <w:tcPr>
            <w:tcW w:type="dxa" w:w="1200"/>
            <w:shd w:fill="EAF3FF"/>
          </w:tcPr>
          <w:p>
            <w:r>
              <w:rPr>
                <w:rFonts w:ascii="Calibri" w:hAnsi="Calibri"/>
                <w:b/>
                <w:i w:val="0"/>
                <w:color w:val="234C80"/>
                <w:sz w:val="17"/>
              </w:rPr>
              <w:t>Date</w:t>
            </w:r>
          </w:p>
        </w:tc>
        <w:tc>
          <w:tcPr>
            <w:tcW w:type="dxa" w:w="2400"/>
          </w:tcPr>
          <w:p>
            <w:r>
              <w:rPr>
                <w:rFonts w:ascii="Calibri" w:hAnsi="Calibri"/>
                <w:b w:val="0"/>
                <w:i w:val="0"/>
                <w:color w:val="163A63"/>
                <w:sz w:val="17"/>
              </w:rPr>
            </w:r>
          </w:p>
        </w:tc>
        <w:tc>
          <w:tcPr>
            <w:tcW w:type="dxa" w:w="1500"/>
            <w:shd w:fill="EAF3FF"/>
          </w:tcPr>
          <w:p>
            <w:r>
              <w:rPr>
                <w:rFonts w:ascii="Calibri" w:hAnsi="Calibri"/>
                <w:b/>
                <w:i w:val="0"/>
                <w:color w:val="234C80"/>
                <w:sz w:val="17"/>
              </w:rPr>
              <w:t>Defect / notes</w:t>
            </w:r>
          </w:p>
        </w:tc>
        <w:tc>
          <w:tcPr>
            <w:tcW w:type="dxa" w:w="4260"/>
          </w:tcPr>
          <w:p>
            <w:r>
              <w:rPr>
                <w:rFonts w:ascii="Calibri" w:hAnsi="Calibri"/>
                <w:b w:val="0"/>
                <w:i w:val="0"/>
                <w:color w:val="163A63"/>
                <w:sz w:val="17"/>
              </w:rPr>
            </w:r>
          </w:p>
        </w:tc>
      </w:tr>
    </w:tbl>
    <w:p/>
    <w:p>
      <w:pPr>
        <w:pStyle w:val="Heading2"/>
      </w:pPr>
      <w:r>
        <w:t>TC-16 Preserve control state and date range</w:t>
      </w:r>
    </w:p>
    <w:tbl>
      <w:tblPr>
        <w:jc w:val="center"/>
        <w:tblLook w:firstColumn="1" w:firstRow="1" w:lastColumn="0" w:lastRow="0" w:noHBand="0" w:noVBand="1" w:val="04A0"/>
        <w:tblW w:w="9360" w:type="dxa"/>
        <w:tblInd w:w="120" w:type="dxa"/>
        <w:tblLayout w:type="fixed"/>
        <w:tblCellMar>
          <w:top w:w="80" w:type="dxa"/>
          <w:bottom w:w="80" w:type="dxa"/>
          <w:start w:w="120" w:type="dxa"/>
          <w:end w:w="120" w:type="dxa"/>
        </w:tblCellMar>
      </w:tblPr>
      <w:tblGrid>
        <w:gridCol w:w="9360"/>
      </w:tblGrid>
      <w:tr>
        <w:trPr>
          <w:cantSplit/>
          <w:tblHeader w:val="true"/>
        </w:trPr>
        <w:tc>
          <w:tcPr>
            <w:tcW w:type="dxa" w:w="9360"/>
            <w:shd w:fill="EAF3FF"/>
            <w:vAlign w:val="center"/>
          </w:tcPr>
          <w:p>
            <w:pPr>
              <w:pStyle w:val="Callout"/>
            </w:pPr>
            <w:r>
              <w:rPr>
                <w:b/>
                <w:color w:val="234C80"/>
              </w:rPr>
              <w:t xml:space="preserve">Objective. </w:t>
            </w:r>
            <w:r>
              <w:t>Verify translation refresh does not clear user input or reset the GA4 date-range selection.</w:t>
            </w:r>
          </w:p>
        </w:tc>
      </w:tr>
    </w:tbl>
    <w:p>
      <w:pPr>
        <w:pStyle w:val="Heading3"/>
      </w:pPr>
      <w:r>
        <w:t>Procedure</w:t>
      </w:r>
    </w:p>
    <w:p>
      <w:pPr>
        <w:pStyle w:val="ListNumber"/>
        <w:numPr>
          <w:ilvl w:val="0"/>
          <w:numId w:val="29"/>
        </w:numPr>
      </w:pPr>
      <w:r>
        <w:t>Choose a date range other than the default, for example Yesterday or Last 30 days.</w:t>
      </w:r>
    </w:p>
    <w:p>
      <w:pPr>
        <w:pStyle w:val="ListNumber"/>
        <w:numPr>
          <w:ilvl w:val="0"/>
          <w:numId w:val="29"/>
        </w:numPr>
      </w:pPr>
      <w:r>
        <w:t>Enter representative editable text in any safe test field and select part of it if available.</w:t>
      </w:r>
    </w:p>
    <w:p>
      <w:pPr>
        <w:pStyle w:val="ListNumber"/>
        <w:numPr>
          <w:ilvl w:val="0"/>
          <w:numId w:val="29"/>
        </w:numPr>
      </w:pPr>
      <w:r>
        <w:t>Select the translated language, then switch back to English.</w:t>
      </w:r>
    </w:p>
    <w:p>
      <w:pPr>
        <w:pStyle w:val="ListNumber"/>
        <w:numPr>
          <w:ilvl w:val="0"/>
          <w:numId w:val="29"/>
        </w:numPr>
      </w:pPr>
      <w:r>
        <w:t>Refresh or run a normal report action if it is safe in the test environment.</w:t>
      </w:r>
    </w:p>
    <w:p>
      <w:pPr>
        <w:pStyle w:val="Heading3"/>
      </w:pPr>
      <w:r>
        <w:t>Expected result</w:t>
      </w:r>
    </w:p>
    <w:p>
      <w:pPr>
        <w:pStyle w:val="ListBullet"/>
      </w:pPr>
      <w:r>
        <w:t>The date-range combo remains on the same logical selection and does not become blank.</w:t>
      </w:r>
    </w:p>
    <w:p>
      <w:pPr>
        <w:pStyle w:val="ListBullet"/>
      </w:pPr>
      <w:r>
        <w:t>The reporting period does not silently change to This year or another default.</w:t>
      </w:r>
    </w:p>
    <w:p>
      <w:pPr>
        <w:pStyle w:val="ListBullet"/>
      </w:pPr>
      <w:r>
        <w:t>Writable edit/memo content, focus, selections, and list/combo ItemIndex remain intact.</w:t>
      </w:r>
    </w:p>
    <w:p>
      <w:pPr>
        <w:pStyle w:val="ListBullet"/>
      </w:pPr>
      <w:r>
        <w:t>Read-only instructional content is translated where cataloged.</w:t>
      </w:r>
    </w:p>
    <w:tbl>
      <w:tblPr>
        <w:tblStyle w:val="TableGrid"/>
        <w:jc w:val="center"/>
        <w:tblLook w:firstColumn="1" w:firstRow="1" w:lastColumn="0" w:lastRow="0" w:noHBand="0" w:noVBand="1" w:val="04A0"/>
        <w:tblW w:w="9360" w:type="dxa"/>
        <w:tblInd w:w="120" w:type="dxa"/>
        <w:tblLayout w:type="fixed"/>
        <w:tblCellMar>
          <w:top w:w="80" w:type="dxa"/>
          <w:bottom w:w="80" w:type="dxa"/>
          <w:start w:w="120" w:type="dxa"/>
          <w:end w:w="120" w:type="dxa"/>
        </w:tblCellMar>
      </w:tblPr>
      <w:tblGrid>
        <w:gridCol w:w="1200"/>
        <w:gridCol w:w="2400"/>
        <w:gridCol w:w="1500"/>
        <w:gridCol w:w="4260"/>
      </w:tblGrid>
      <w:tr>
        <w:trPr>
          <w:tblHeader w:val="true"/>
        </w:trPr>
        <w:tc>
          <w:tcPr>
            <w:tcW w:type="dxa" w:w="1200"/>
            <w:shd w:fill="EAF3FF"/>
          </w:tcPr>
          <w:p>
            <w:r>
              <w:rPr>
                <w:rFonts w:ascii="Calibri" w:hAnsi="Calibri"/>
                <w:b/>
                <w:i w:val="0"/>
                <w:color w:val="234C80"/>
                <w:sz w:val="17"/>
              </w:rPr>
              <w:t>Result</w:t>
            </w:r>
          </w:p>
        </w:tc>
        <w:tc>
          <w:tcPr>
            <w:tcW w:type="dxa" w:w="2400"/>
          </w:tcPr>
          <w:p>
            <w:r>
              <w:rPr>
                <w:rFonts w:ascii="Calibri" w:hAnsi="Calibri"/>
                <w:b w:val="0"/>
                <w:i w:val="0"/>
                <w:color w:val="163A63"/>
                <w:sz w:val="17"/>
              </w:rPr>
              <w:t>PASS / FAIL / N/A</w:t>
            </w:r>
          </w:p>
        </w:tc>
        <w:tc>
          <w:tcPr>
            <w:tcW w:type="dxa" w:w="1500"/>
            <w:shd w:fill="EAF3FF"/>
          </w:tcPr>
          <w:p>
            <w:r>
              <w:rPr>
                <w:rFonts w:ascii="Calibri" w:hAnsi="Calibri"/>
                <w:b/>
                <w:i w:val="0"/>
                <w:color w:val="234C80"/>
                <w:sz w:val="17"/>
              </w:rPr>
              <w:t>Tester</w:t>
            </w:r>
          </w:p>
        </w:tc>
        <w:tc>
          <w:tcPr>
            <w:tcW w:type="dxa" w:w="4260"/>
          </w:tcPr>
          <w:p>
            <w:r>
              <w:rPr>
                <w:rFonts w:ascii="Calibri" w:hAnsi="Calibri"/>
                <w:b w:val="0"/>
                <w:i w:val="0"/>
                <w:color w:val="163A63"/>
                <w:sz w:val="17"/>
              </w:rPr>
            </w:r>
          </w:p>
        </w:tc>
      </w:tr>
      <w:tr>
        <w:tc>
          <w:tcPr>
            <w:tcW w:type="dxa" w:w="1200"/>
            <w:shd w:fill="EAF3FF"/>
          </w:tcPr>
          <w:p>
            <w:r>
              <w:rPr>
                <w:rFonts w:ascii="Calibri" w:hAnsi="Calibri"/>
                <w:b/>
                <w:i w:val="0"/>
                <w:color w:val="234C80"/>
                <w:sz w:val="17"/>
              </w:rPr>
              <w:t>Date</w:t>
            </w:r>
          </w:p>
        </w:tc>
        <w:tc>
          <w:tcPr>
            <w:tcW w:type="dxa" w:w="2400"/>
          </w:tcPr>
          <w:p>
            <w:r>
              <w:rPr>
                <w:rFonts w:ascii="Calibri" w:hAnsi="Calibri"/>
                <w:b w:val="0"/>
                <w:i w:val="0"/>
                <w:color w:val="163A63"/>
                <w:sz w:val="17"/>
              </w:rPr>
            </w:r>
          </w:p>
        </w:tc>
        <w:tc>
          <w:tcPr>
            <w:tcW w:type="dxa" w:w="1500"/>
            <w:shd w:fill="EAF3FF"/>
          </w:tcPr>
          <w:p>
            <w:r>
              <w:rPr>
                <w:rFonts w:ascii="Calibri" w:hAnsi="Calibri"/>
                <w:b/>
                <w:i w:val="0"/>
                <w:color w:val="234C80"/>
                <w:sz w:val="17"/>
              </w:rPr>
              <w:t>Defect / notes</w:t>
            </w:r>
          </w:p>
        </w:tc>
        <w:tc>
          <w:tcPr>
            <w:tcW w:type="dxa" w:w="4260"/>
          </w:tcPr>
          <w:p>
            <w:r>
              <w:rPr>
                <w:rFonts w:ascii="Calibri" w:hAnsi="Calibri"/>
                <w:b w:val="0"/>
                <w:i w:val="0"/>
                <w:color w:val="163A63"/>
                <w:sz w:val="17"/>
              </w:rPr>
            </w:r>
          </w:p>
        </w:tc>
      </w:tr>
    </w:tbl>
    <w:p/>
    <w:p>
      <w:pPr>
        <w:pStyle w:val="Heading2"/>
      </w:pPr>
      <w:r>
        <w:t>TC-17 Preference persistence and restart</w:t>
      </w:r>
    </w:p>
    <w:tbl>
      <w:tblPr>
        <w:jc w:val="center"/>
        <w:tblLook w:firstColumn="1" w:firstRow="1" w:lastColumn="0" w:lastRow="0" w:noHBand="0" w:noVBand="1" w:val="04A0"/>
        <w:tblW w:w="9360" w:type="dxa"/>
        <w:tblInd w:w="120" w:type="dxa"/>
        <w:tblLayout w:type="fixed"/>
        <w:tblCellMar>
          <w:top w:w="80" w:type="dxa"/>
          <w:bottom w:w="80" w:type="dxa"/>
          <w:start w:w="120" w:type="dxa"/>
          <w:end w:w="120" w:type="dxa"/>
        </w:tblCellMar>
      </w:tblPr>
      <w:tblGrid>
        <w:gridCol w:w="9360"/>
      </w:tblGrid>
      <w:tr>
        <w:trPr>
          <w:cantSplit/>
          <w:tblHeader w:val="true"/>
        </w:trPr>
        <w:tc>
          <w:tcPr>
            <w:tcW w:type="dxa" w:w="9360"/>
            <w:shd w:fill="EAF3FF"/>
            <w:vAlign w:val="center"/>
          </w:tcPr>
          <w:p>
            <w:pPr>
              <w:pStyle w:val="Callout"/>
            </w:pPr>
            <w:r>
              <w:rPr>
                <w:b/>
                <w:color w:val="234C80"/>
              </w:rPr>
              <w:t xml:space="preserve">Objective. </w:t>
            </w:r>
            <w:r>
              <w:t>Verify the selected language is saved per user and safely applied on the next launch.</w:t>
            </w:r>
          </w:p>
        </w:tc>
      </w:tr>
    </w:tbl>
    <w:p>
      <w:pPr>
        <w:pStyle w:val="Heading3"/>
      </w:pPr>
      <w:r>
        <w:t>Procedure</w:t>
      </w:r>
    </w:p>
    <w:p>
      <w:pPr>
        <w:pStyle w:val="ListNumber"/>
        <w:numPr>
          <w:ilvl w:val="0"/>
          <w:numId w:val="30"/>
        </w:numPr>
      </w:pPr>
      <w:r>
        <w:t>Select the translated language and close Website Analytics normally.</w:t>
      </w:r>
    </w:p>
    <w:p>
      <w:pPr>
        <w:pStyle w:val="ListNumber"/>
        <w:numPr>
          <w:ilvl w:val="0"/>
          <w:numId w:val="30"/>
        </w:numPr>
      </w:pPr>
      <w:r>
        <w:t>Open %LOCALAPPDATA%\FMXPilot\language.ini and confirm Selected=&lt;locale&gt; without editing it.</w:t>
      </w:r>
    </w:p>
    <w:p>
      <w:pPr>
        <w:pStyle w:val="ListNumber"/>
        <w:numPr>
          <w:ilvl w:val="0"/>
          <w:numId w:val="30"/>
        </w:numPr>
      </w:pPr>
      <w:r>
        <w:t>Restart the same Win32 executable.</w:t>
      </w:r>
    </w:p>
    <w:p>
      <w:pPr>
        <w:pStyle w:val="ListNumber"/>
        <w:numPr>
          <w:ilvl w:val="0"/>
          <w:numId w:val="30"/>
        </w:numPr>
      </w:pPr>
      <w:r>
        <w:t>Repeat the translated selection, close, and launch the Win64 executable.</w:t>
      </w:r>
    </w:p>
    <w:p>
      <w:pPr>
        <w:pStyle w:val="Heading3"/>
      </w:pPr>
      <w:r>
        <w:t>Expected result</w:t>
      </w:r>
    </w:p>
    <w:p>
      <w:pPr>
        <w:pStyle w:val="ListBullet"/>
      </w:pPr>
      <w:r>
        <w:t>The next launch opens in the saved language without an exception.</w:t>
      </w:r>
    </w:p>
    <w:p>
      <w:pPr>
        <w:pStyle w:val="ListBullet"/>
      </w:pPr>
      <w:r>
        <w:t>Win32 and Win64 share the ApplicationId preference as intended.</w:t>
      </w:r>
    </w:p>
    <w:p>
      <w:pPr>
        <w:pStyle w:val="ListBullet"/>
      </w:pPr>
      <w:r>
        <w:t>The preference file contains only language selection data and no provider key.</w:t>
      </w:r>
    </w:p>
    <w:p>
      <w:pPr>
        <w:pStyle w:val="ListBullet"/>
      </w:pPr>
      <w:r>
        <w:t>Selecting English and closing changes the saved value back to en-US.</w:t>
      </w:r>
    </w:p>
    <w:tbl>
      <w:tblPr>
        <w:tblStyle w:val="TableGrid"/>
        <w:jc w:val="center"/>
        <w:tblLook w:firstColumn="1" w:firstRow="1" w:lastColumn="0" w:lastRow="0" w:noHBand="0" w:noVBand="1" w:val="04A0"/>
        <w:tblW w:w="9360" w:type="dxa"/>
        <w:tblInd w:w="120" w:type="dxa"/>
        <w:tblLayout w:type="fixed"/>
        <w:tblCellMar>
          <w:top w:w="80" w:type="dxa"/>
          <w:bottom w:w="80" w:type="dxa"/>
          <w:start w:w="120" w:type="dxa"/>
          <w:end w:w="120" w:type="dxa"/>
        </w:tblCellMar>
      </w:tblPr>
      <w:tblGrid>
        <w:gridCol w:w="1200"/>
        <w:gridCol w:w="2400"/>
        <w:gridCol w:w="1500"/>
        <w:gridCol w:w="4260"/>
      </w:tblGrid>
      <w:tr>
        <w:trPr>
          <w:tblHeader w:val="true"/>
        </w:trPr>
        <w:tc>
          <w:tcPr>
            <w:tcW w:type="dxa" w:w="1200"/>
            <w:shd w:fill="EAF3FF"/>
          </w:tcPr>
          <w:p>
            <w:r>
              <w:rPr>
                <w:rFonts w:ascii="Calibri" w:hAnsi="Calibri"/>
                <w:b/>
                <w:i w:val="0"/>
                <w:color w:val="234C80"/>
                <w:sz w:val="17"/>
              </w:rPr>
              <w:t>Result</w:t>
            </w:r>
          </w:p>
        </w:tc>
        <w:tc>
          <w:tcPr>
            <w:tcW w:type="dxa" w:w="2400"/>
          </w:tcPr>
          <w:p>
            <w:r>
              <w:rPr>
                <w:rFonts w:ascii="Calibri" w:hAnsi="Calibri"/>
                <w:b w:val="0"/>
                <w:i w:val="0"/>
                <w:color w:val="163A63"/>
                <w:sz w:val="17"/>
              </w:rPr>
              <w:t>PASS / FAIL / N/A</w:t>
            </w:r>
          </w:p>
        </w:tc>
        <w:tc>
          <w:tcPr>
            <w:tcW w:type="dxa" w:w="1500"/>
            <w:shd w:fill="EAF3FF"/>
          </w:tcPr>
          <w:p>
            <w:r>
              <w:rPr>
                <w:rFonts w:ascii="Calibri" w:hAnsi="Calibri"/>
                <w:b/>
                <w:i w:val="0"/>
                <w:color w:val="234C80"/>
                <w:sz w:val="17"/>
              </w:rPr>
              <w:t>Tester</w:t>
            </w:r>
          </w:p>
        </w:tc>
        <w:tc>
          <w:tcPr>
            <w:tcW w:type="dxa" w:w="4260"/>
          </w:tcPr>
          <w:p>
            <w:r>
              <w:rPr>
                <w:rFonts w:ascii="Calibri" w:hAnsi="Calibri"/>
                <w:b w:val="0"/>
                <w:i w:val="0"/>
                <w:color w:val="163A63"/>
                <w:sz w:val="17"/>
              </w:rPr>
            </w:r>
          </w:p>
        </w:tc>
      </w:tr>
      <w:tr>
        <w:tc>
          <w:tcPr>
            <w:tcW w:type="dxa" w:w="1200"/>
            <w:shd w:fill="EAF3FF"/>
          </w:tcPr>
          <w:p>
            <w:r>
              <w:rPr>
                <w:rFonts w:ascii="Calibri" w:hAnsi="Calibri"/>
                <w:b/>
                <w:i w:val="0"/>
                <w:color w:val="234C80"/>
                <w:sz w:val="17"/>
              </w:rPr>
              <w:t>Date</w:t>
            </w:r>
          </w:p>
        </w:tc>
        <w:tc>
          <w:tcPr>
            <w:tcW w:type="dxa" w:w="2400"/>
          </w:tcPr>
          <w:p>
            <w:r>
              <w:rPr>
                <w:rFonts w:ascii="Calibri" w:hAnsi="Calibri"/>
                <w:b w:val="0"/>
                <w:i w:val="0"/>
                <w:color w:val="163A63"/>
                <w:sz w:val="17"/>
              </w:rPr>
            </w:r>
          </w:p>
        </w:tc>
        <w:tc>
          <w:tcPr>
            <w:tcW w:type="dxa" w:w="1500"/>
            <w:shd w:fill="EAF3FF"/>
          </w:tcPr>
          <w:p>
            <w:r>
              <w:rPr>
                <w:rFonts w:ascii="Calibri" w:hAnsi="Calibri"/>
                <w:b/>
                <w:i w:val="0"/>
                <w:color w:val="234C80"/>
                <w:sz w:val="17"/>
              </w:rPr>
              <w:t>Defect / notes</w:t>
            </w:r>
          </w:p>
        </w:tc>
        <w:tc>
          <w:tcPr>
            <w:tcW w:type="dxa" w:w="4260"/>
          </w:tcPr>
          <w:p>
            <w:r>
              <w:rPr>
                <w:rFonts w:ascii="Calibri" w:hAnsi="Calibri"/>
                <w:b w:val="0"/>
                <w:i w:val="0"/>
                <w:color w:val="163A63"/>
                <w:sz w:val="17"/>
              </w:rPr>
            </w:r>
          </w:p>
        </w:tc>
      </w:tr>
    </w:tbl>
    <w:p/>
    <w:p>
      <w:pPr>
        <w:pStyle w:val="Heading2"/>
      </w:pPr>
      <w:r>
        <w:t>TC-18 Offline runtime</w:t>
      </w:r>
    </w:p>
    <w:tbl>
      <w:tblPr>
        <w:jc w:val="center"/>
        <w:tblLook w:firstColumn="1" w:firstRow="1" w:lastColumn="0" w:lastRow="0" w:noHBand="0" w:noVBand="1" w:val="04A0"/>
        <w:tblW w:w="9360" w:type="dxa"/>
        <w:tblInd w:w="120" w:type="dxa"/>
        <w:tblLayout w:type="fixed"/>
        <w:tblCellMar>
          <w:top w:w="80" w:type="dxa"/>
          <w:bottom w:w="80" w:type="dxa"/>
          <w:start w:w="120" w:type="dxa"/>
          <w:end w:w="120" w:type="dxa"/>
        </w:tblCellMar>
      </w:tblPr>
      <w:tblGrid>
        <w:gridCol w:w="9360"/>
      </w:tblGrid>
      <w:tr>
        <w:trPr>
          <w:cantSplit/>
          <w:tblHeader w:val="true"/>
        </w:trPr>
        <w:tc>
          <w:tcPr>
            <w:tcW w:type="dxa" w:w="9360"/>
            <w:shd w:fill="EAF3FF"/>
            <w:vAlign w:val="center"/>
          </w:tcPr>
          <w:p>
            <w:pPr>
              <w:pStyle w:val="Callout"/>
            </w:pPr>
            <w:r>
              <w:rPr>
                <w:b/>
                <w:color w:val="234C80"/>
              </w:rPr>
              <w:t xml:space="preserve">Objective. </w:t>
            </w:r>
            <w:r>
              <w:t>Prove the finished application needs no network, provider account, or Studio process.</w:t>
            </w:r>
          </w:p>
        </w:tc>
      </w:tr>
    </w:tbl>
    <w:p>
      <w:pPr>
        <w:pStyle w:val="Heading3"/>
      </w:pPr>
      <w:r>
        <w:t>Procedure</w:t>
      </w:r>
    </w:p>
    <w:p>
      <w:pPr>
        <w:pStyle w:val="ListNumber"/>
        <w:numPr>
          <w:ilvl w:val="0"/>
          <w:numId w:val="31"/>
        </w:numPr>
      </w:pPr>
      <w:r>
        <w:t>Close Delphi App Translation Studio.</w:t>
      </w:r>
    </w:p>
    <w:p>
      <w:pPr>
        <w:pStyle w:val="ListNumber"/>
        <w:numPr>
          <w:ilvl w:val="0"/>
          <w:numId w:val="31"/>
        </w:numPr>
      </w:pPr>
      <w:r>
        <w:t>Disconnect the test computer from the Internet or block the disposable FMXPilot executable through the test firewall policy.</w:t>
      </w:r>
    </w:p>
    <w:p>
      <w:pPr>
        <w:pStyle w:val="ListNumber"/>
        <w:numPr>
          <w:ilvl w:val="0"/>
          <w:numId w:val="31"/>
        </w:numPr>
      </w:pPr>
      <w:r>
        <w:t>Launch FMXPilot, switch between English and the translated language, open secondary forms, and restart.</w:t>
      </w:r>
    </w:p>
    <w:p>
      <w:pPr>
        <w:pStyle w:val="ListNumber"/>
        <w:numPr>
          <w:ilvl w:val="0"/>
          <w:numId w:val="31"/>
        </w:numPr>
      </w:pPr>
      <w:r>
        <w:t>Restore the network after the test.</w:t>
      </w:r>
    </w:p>
    <w:p>
      <w:pPr>
        <w:pStyle w:val="Heading3"/>
      </w:pPr>
      <w:r>
        <w:t>Expected result</w:t>
      </w:r>
    </w:p>
    <w:p>
      <w:pPr>
        <w:pStyle w:val="ListBullet"/>
      </w:pPr>
      <w:r>
        <w:t>Both languages load from local JSON packs.</w:t>
      </w:r>
    </w:p>
    <w:p>
      <w:pPr>
        <w:pStyle w:val="ListBullet"/>
      </w:pPr>
      <w:r>
        <w:t>Switching and persistence continue to work offline.</w:t>
      </w:r>
    </w:p>
    <w:p>
      <w:pPr>
        <w:pStyle w:val="ListBullet"/>
      </w:pPr>
      <w:r>
        <w:t>No provider dialog, API-key prompt, network delay, or cloud dependency appears in the target.</w:t>
      </w:r>
    </w:p>
    <w:tbl>
      <w:tblPr>
        <w:tblStyle w:val="TableGrid"/>
        <w:jc w:val="center"/>
        <w:tblLook w:firstColumn="1" w:firstRow="1" w:lastColumn="0" w:lastRow="0" w:noHBand="0" w:noVBand="1" w:val="04A0"/>
        <w:tblW w:w="9360" w:type="dxa"/>
        <w:tblInd w:w="120" w:type="dxa"/>
        <w:tblLayout w:type="fixed"/>
        <w:tblCellMar>
          <w:top w:w="80" w:type="dxa"/>
          <w:bottom w:w="80" w:type="dxa"/>
          <w:start w:w="120" w:type="dxa"/>
          <w:end w:w="120" w:type="dxa"/>
        </w:tblCellMar>
      </w:tblPr>
      <w:tblGrid>
        <w:gridCol w:w="1200"/>
        <w:gridCol w:w="2400"/>
        <w:gridCol w:w="1500"/>
        <w:gridCol w:w="4260"/>
      </w:tblGrid>
      <w:tr>
        <w:trPr>
          <w:tblHeader w:val="true"/>
        </w:trPr>
        <w:tc>
          <w:tcPr>
            <w:tcW w:type="dxa" w:w="1200"/>
            <w:shd w:fill="EAF3FF"/>
          </w:tcPr>
          <w:p>
            <w:r>
              <w:rPr>
                <w:rFonts w:ascii="Calibri" w:hAnsi="Calibri"/>
                <w:b/>
                <w:i w:val="0"/>
                <w:color w:val="234C80"/>
                <w:sz w:val="17"/>
              </w:rPr>
              <w:t>Result</w:t>
            </w:r>
          </w:p>
        </w:tc>
        <w:tc>
          <w:tcPr>
            <w:tcW w:type="dxa" w:w="2400"/>
          </w:tcPr>
          <w:p>
            <w:r>
              <w:rPr>
                <w:rFonts w:ascii="Calibri" w:hAnsi="Calibri"/>
                <w:b w:val="0"/>
                <w:i w:val="0"/>
                <w:color w:val="163A63"/>
                <w:sz w:val="17"/>
              </w:rPr>
              <w:t>PASS / FAIL / N/A</w:t>
            </w:r>
          </w:p>
        </w:tc>
        <w:tc>
          <w:tcPr>
            <w:tcW w:type="dxa" w:w="1500"/>
            <w:shd w:fill="EAF3FF"/>
          </w:tcPr>
          <w:p>
            <w:r>
              <w:rPr>
                <w:rFonts w:ascii="Calibri" w:hAnsi="Calibri"/>
                <w:b/>
                <w:i w:val="0"/>
                <w:color w:val="234C80"/>
                <w:sz w:val="17"/>
              </w:rPr>
              <w:t>Tester</w:t>
            </w:r>
          </w:p>
        </w:tc>
        <w:tc>
          <w:tcPr>
            <w:tcW w:type="dxa" w:w="4260"/>
          </w:tcPr>
          <w:p>
            <w:r>
              <w:rPr>
                <w:rFonts w:ascii="Calibri" w:hAnsi="Calibri"/>
                <w:b w:val="0"/>
                <w:i w:val="0"/>
                <w:color w:val="163A63"/>
                <w:sz w:val="17"/>
              </w:rPr>
            </w:r>
          </w:p>
        </w:tc>
      </w:tr>
      <w:tr>
        <w:tc>
          <w:tcPr>
            <w:tcW w:type="dxa" w:w="1200"/>
            <w:shd w:fill="EAF3FF"/>
          </w:tcPr>
          <w:p>
            <w:r>
              <w:rPr>
                <w:rFonts w:ascii="Calibri" w:hAnsi="Calibri"/>
                <w:b/>
                <w:i w:val="0"/>
                <w:color w:val="234C80"/>
                <w:sz w:val="17"/>
              </w:rPr>
              <w:t>Date</w:t>
            </w:r>
          </w:p>
        </w:tc>
        <w:tc>
          <w:tcPr>
            <w:tcW w:type="dxa" w:w="2400"/>
          </w:tcPr>
          <w:p>
            <w:r>
              <w:rPr>
                <w:rFonts w:ascii="Calibri" w:hAnsi="Calibri"/>
                <w:b w:val="0"/>
                <w:i w:val="0"/>
                <w:color w:val="163A63"/>
                <w:sz w:val="17"/>
              </w:rPr>
            </w:r>
          </w:p>
        </w:tc>
        <w:tc>
          <w:tcPr>
            <w:tcW w:type="dxa" w:w="1500"/>
            <w:shd w:fill="EAF3FF"/>
          </w:tcPr>
          <w:p>
            <w:r>
              <w:rPr>
                <w:rFonts w:ascii="Calibri" w:hAnsi="Calibri"/>
                <w:b/>
                <w:i w:val="0"/>
                <w:color w:val="234C80"/>
                <w:sz w:val="17"/>
              </w:rPr>
              <w:t>Defect / notes</w:t>
            </w:r>
          </w:p>
        </w:tc>
        <w:tc>
          <w:tcPr>
            <w:tcW w:type="dxa" w:w="4260"/>
          </w:tcPr>
          <w:p>
            <w:r>
              <w:rPr>
                <w:rFonts w:ascii="Calibri" w:hAnsi="Calibri"/>
                <w:b w:val="0"/>
                <w:i w:val="0"/>
                <w:color w:val="163A63"/>
                <w:sz w:val="17"/>
              </w:rPr>
            </w:r>
          </w:p>
        </w:tc>
      </w:tr>
    </w:tbl>
    <w:p/>
    <w:p>
      <w:pPr>
        <w:pStyle w:val="Heading2"/>
      </w:pPr>
      <w:r>
        <w:t>TC-19 Missing and malformed pack behavior</w:t>
      </w:r>
    </w:p>
    <w:tbl>
      <w:tblPr>
        <w:jc w:val="center"/>
        <w:tblLook w:firstColumn="1" w:firstRow="1" w:lastColumn="0" w:lastRow="0" w:noHBand="0" w:noVBand="1" w:val="04A0"/>
        <w:tblW w:w="9360" w:type="dxa"/>
        <w:tblInd w:w="120" w:type="dxa"/>
        <w:tblLayout w:type="fixed"/>
        <w:tblCellMar>
          <w:top w:w="80" w:type="dxa"/>
          <w:bottom w:w="80" w:type="dxa"/>
          <w:start w:w="120" w:type="dxa"/>
          <w:end w:w="120" w:type="dxa"/>
        </w:tblCellMar>
      </w:tblPr>
      <w:tblGrid>
        <w:gridCol w:w="9360"/>
      </w:tblGrid>
      <w:tr>
        <w:trPr>
          <w:cantSplit/>
          <w:tblHeader w:val="true"/>
        </w:trPr>
        <w:tc>
          <w:tcPr>
            <w:tcW w:type="dxa" w:w="9360"/>
            <w:shd w:fill="EAF3FF"/>
            <w:vAlign w:val="center"/>
          </w:tcPr>
          <w:p>
            <w:pPr>
              <w:pStyle w:val="Callout"/>
            </w:pPr>
            <w:r>
              <w:rPr>
                <w:b/>
                <w:color w:val="234C80"/>
              </w:rPr>
              <w:t xml:space="preserve">Objective. </w:t>
            </w:r>
            <w:r>
              <w:t>Verify a deployment fault fails safely and does not corrupt the application.</w:t>
            </w:r>
          </w:p>
        </w:tc>
      </w:tr>
    </w:tbl>
    <w:p>
      <w:pPr>
        <w:pStyle w:val="Heading3"/>
      </w:pPr>
      <w:r>
        <w:t>Procedure</w:t>
      </w:r>
    </w:p>
    <w:p>
      <w:pPr>
        <w:pStyle w:val="ListNumber"/>
        <w:numPr>
          <w:ilvl w:val="0"/>
          <w:numId w:val="32"/>
        </w:numPr>
      </w:pPr>
      <w:r>
        <w:t>Close the target.</w:t>
      </w:r>
    </w:p>
    <w:p>
      <w:pPr>
        <w:pStyle w:val="ListNumber"/>
        <w:numPr>
          <w:ilvl w:val="0"/>
          <w:numId w:val="32"/>
        </w:numPr>
      </w:pPr>
      <w:r>
        <w:t>Move the translated JSON file to a temporary folder outside Localization\Languages; do not delete it.</w:t>
      </w:r>
    </w:p>
    <w:p>
      <w:pPr>
        <w:pStyle w:val="ListNumber"/>
        <w:numPr>
          <w:ilvl w:val="0"/>
          <w:numId w:val="32"/>
        </w:numPr>
      </w:pPr>
      <w:r>
        <w:t>Launch the target and inspect the selector and source-language behavior.</w:t>
      </w:r>
    </w:p>
    <w:p>
      <w:pPr>
        <w:pStyle w:val="ListNumber"/>
        <w:numPr>
          <w:ilvl w:val="0"/>
          <w:numId w:val="32"/>
        </w:numPr>
      </w:pPr>
      <w:r>
        <w:t>Restore the file, then make a disposable copy with invalid JSON and place that copy under an unrelated filename in the language folder.</w:t>
      </w:r>
    </w:p>
    <w:p>
      <w:pPr>
        <w:pStyle w:val="ListNumber"/>
        <w:numPr>
          <w:ilvl w:val="0"/>
          <w:numId w:val="32"/>
        </w:numPr>
      </w:pPr>
      <w:r>
        <w:t>Launch again, confirm the invalid unrelated pack is ignored, then remove the disposable invalid file.</w:t>
      </w:r>
    </w:p>
    <w:p>
      <w:pPr>
        <w:pStyle w:val="Heading3"/>
      </w:pPr>
      <w:r>
        <w:t>Expected result</w:t>
      </w:r>
    </w:p>
    <w:p>
      <w:pPr>
        <w:pStyle w:val="ListBullet"/>
      </w:pPr>
      <w:r>
        <w:t>The unavailable language is not offered as a valid selection.</w:t>
      </w:r>
    </w:p>
    <w:p>
      <w:pPr>
        <w:pStyle w:val="ListBullet"/>
      </w:pPr>
      <w:r>
        <w:t>The application remains usable in the source language according to MissingPackBehavior.</w:t>
      </w:r>
    </w:p>
    <w:p>
      <w:pPr>
        <w:pStyle w:val="ListBullet"/>
      </w:pPr>
      <w:r>
        <w:t>A malformed/unrelated pack does not crash startup or replace valid packs.</w:t>
      </w:r>
    </w:p>
    <w:p>
      <w:pPr>
        <w:pStyle w:val="ListBullet"/>
      </w:pPr>
      <w:r>
        <w:t>Restoring the valid file and relaunching restores the language choice.</w:t>
      </w:r>
    </w:p>
    <w:tbl>
      <w:tblPr>
        <w:tblStyle w:val="TableGrid"/>
        <w:jc w:val="center"/>
        <w:tblLook w:firstColumn="1" w:firstRow="1" w:lastColumn="0" w:lastRow="0" w:noHBand="0" w:noVBand="1" w:val="04A0"/>
        <w:tblW w:w="9360" w:type="dxa"/>
        <w:tblInd w:w="120" w:type="dxa"/>
        <w:tblLayout w:type="fixed"/>
        <w:tblCellMar>
          <w:top w:w="80" w:type="dxa"/>
          <w:bottom w:w="80" w:type="dxa"/>
          <w:start w:w="120" w:type="dxa"/>
          <w:end w:w="120" w:type="dxa"/>
        </w:tblCellMar>
      </w:tblPr>
      <w:tblGrid>
        <w:gridCol w:w="1200"/>
        <w:gridCol w:w="2400"/>
        <w:gridCol w:w="1500"/>
        <w:gridCol w:w="4260"/>
      </w:tblGrid>
      <w:tr>
        <w:trPr>
          <w:tblHeader w:val="true"/>
        </w:trPr>
        <w:tc>
          <w:tcPr>
            <w:tcW w:type="dxa" w:w="1200"/>
            <w:shd w:fill="EAF3FF"/>
          </w:tcPr>
          <w:p>
            <w:r>
              <w:rPr>
                <w:rFonts w:ascii="Calibri" w:hAnsi="Calibri"/>
                <w:b/>
                <w:i w:val="0"/>
                <w:color w:val="234C80"/>
                <w:sz w:val="17"/>
              </w:rPr>
              <w:t>Result</w:t>
            </w:r>
          </w:p>
        </w:tc>
        <w:tc>
          <w:tcPr>
            <w:tcW w:type="dxa" w:w="2400"/>
          </w:tcPr>
          <w:p>
            <w:r>
              <w:rPr>
                <w:rFonts w:ascii="Calibri" w:hAnsi="Calibri"/>
                <w:b w:val="0"/>
                <w:i w:val="0"/>
                <w:color w:val="163A63"/>
                <w:sz w:val="17"/>
              </w:rPr>
              <w:t>PASS / FAIL / N/A</w:t>
            </w:r>
          </w:p>
        </w:tc>
        <w:tc>
          <w:tcPr>
            <w:tcW w:type="dxa" w:w="1500"/>
            <w:shd w:fill="EAF3FF"/>
          </w:tcPr>
          <w:p>
            <w:r>
              <w:rPr>
                <w:rFonts w:ascii="Calibri" w:hAnsi="Calibri"/>
                <w:b/>
                <w:i w:val="0"/>
                <w:color w:val="234C80"/>
                <w:sz w:val="17"/>
              </w:rPr>
              <w:t>Tester</w:t>
            </w:r>
          </w:p>
        </w:tc>
        <w:tc>
          <w:tcPr>
            <w:tcW w:type="dxa" w:w="4260"/>
          </w:tcPr>
          <w:p>
            <w:r>
              <w:rPr>
                <w:rFonts w:ascii="Calibri" w:hAnsi="Calibri"/>
                <w:b w:val="0"/>
                <w:i w:val="0"/>
                <w:color w:val="163A63"/>
                <w:sz w:val="17"/>
              </w:rPr>
            </w:r>
          </w:p>
        </w:tc>
      </w:tr>
      <w:tr>
        <w:tc>
          <w:tcPr>
            <w:tcW w:type="dxa" w:w="1200"/>
            <w:shd w:fill="EAF3FF"/>
          </w:tcPr>
          <w:p>
            <w:r>
              <w:rPr>
                <w:rFonts w:ascii="Calibri" w:hAnsi="Calibri"/>
                <w:b/>
                <w:i w:val="0"/>
                <w:color w:val="234C80"/>
                <w:sz w:val="17"/>
              </w:rPr>
              <w:t>Date</w:t>
            </w:r>
          </w:p>
        </w:tc>
        <w:tc>
          <w:tcPr>
            <w:tcW w:type="dxa" w:w="2400"/>
          </w:tcPr>
          <w:p>
            <w:r>
              <w:rPr>
                <w:rFonts w:ascii="Calibri" w:hAnsi="Calibri"/>
                <w:b w:val="0"/>
                <w:i w:val="0"/>
                <w:color w:val="163A63"/>
                <w:sz w:val="17"/>
              </w:rPr>
            </w:r>
          </w:p>
        </w:tc>
        <w:tc>
          <w:tcPr>
            <w:tcW w:type="dxa" w:w="1500"/>
            <w:shd w:fill="EAF3FF"/>
          </w:tcPr>
          <w:p>
            <w:r>
              <w:rPr>
                <w:rFonts w:ascii="Calibri" w:hAnsi="Calibri"/>
                <w:b/>
                <w:i w:val="0"/>
                <w:color w:val="234C80"/>
                <w:sz w:val="17"/>
              </w:rPr>
              <w:t>Defect / notes</w:t>
            </w:r>
          </w:p>
        </w:tc>
        <w:tc>
          <w:tcPr>
            <w:tcW w:type="dxa" w:w="4260"/>
          </w:tcPr>
          <w:p>
            <w:r>
              <w:rPr>
                <w:rFonts w:ascii="Calibri" w:hAnsi="Calibri"/>
                <w:b w:val="0"/>
                <w:i w:val="0"/>
                <w:color w:val="163A63"/>
                <w:sz w:val="17"/>
              </w:rPr>
            </w:r>
          </w:p>
        </w:tc>
      </w:tr>
    </w:tbl>
    <w:p/>
    <w:p>
      <w:pPr>
        <w:pStyle w:val="Heading2"/>
      </w:pPr>
      <w:r>
        <w:t>8.1 Repeat the runtime matrix</w:t>
      </w:r>
    </w:p>
    <w:tbl>
      <w:tblPr>
        <w:tblStyle w:val="TableGrid"/>
        <w:jc w:val="center"/>
        <w:tblLook w:firstColumn="1" w:firstRow="1" w:lastColumn="0" w:lastRow="0" w:noHBand="0" w:noVBand="1" w:val="04A0"/>
        <w:tblW w:w="9360" w:type="dxa"/>
        <w:tblInd w:w="120" w:type="dxa"/>
        <w:tblLayout w:type="fixed"/>
        <w:tblCellMar>
          <w:top w:w="80" w:type="dxa"/>
          <w:bottom w:w="80" w:type="dxa"/>
          <w:start w:w="120" w:type="dxa"/>
          <w:end w:w="120" w:type="dxa"/>
        </w:tblCellMar>
      </w:tblPr>
      <w:tblGrid>
        <w:gridCol w:w="3800"/>
        <w:gridCol w:w="4060"/>
        <w:gridCol w:w="1500"/>
      </w:tblGrid>
      <w:tr>
        <w:trPr>
          <w:tblHeader w:val="true"/>
        </w:trPr>
        <w:tc>
          <w:tcPr>
            <w:tcW w:type="dxa" w:w="3800"/>
            <w:shd w:fill="234C80"/>
            <w:vAlign w:val="center"/>
          </w:tcPr>
          <w:p>
            <w:r>
              <w:rPr>
                <w:rFonts w:ascii="Calibri" w:hAnsi="Calibri"/>
                <w:b/>
                <w:i w:val="0"/>
                <w:color w:val="FFFFFF"/>
                <w:sz w:val="17"/>
              </w:rPr>
              <w:t>Executable</w:t>
            </w:r>
          </w:p>
        </w:tc>
        <w:tc>
          <w:tcPr>
            <w:tcW w:type="dxa" w:w="4060"/>
            <w:shd w:fill="234C80"/>
            <w:vAlign w:val="center"/>
          </w:tcPr>
          <w:p>
            <w:r>
              <w:rPr>
                <w:rFonts w:ascii="Calibri" w:hAnsi="Calibri"/>
                <w:b/>
                <w:i w:val="0"/>
                <w:color w:val="FFFFFF"/>
                <w:sz w:val="17"/>
              </w:rPr>
              <w:t>Required abbreviated checks</w:t>
            </w:r>
          </w:p>
        </w:tc>
        <w:tc>
          <w:tcPr>
            <w:tcW w:type="dxa" w:w="1500"/>
            <w:shd w:fill="234C80"/>
            <w:vAlign w:val="center"/>
          </w:tcPr>
          <w:p>
            <w:r>
              <w:rPr>
                <w:rFonts w:ascii="Calibri" w:hAnsi="Calibri"/>
                <w:b/>
                <w:i w:val="0"/>
                <w:color w:val="FFFFFF"/>
                <w:sz w:val="17"/>
              </w:rPr>
              <w:t>Result</w:t>
            </w:r>
          </w:p>
        </w:tc>
      </w:tr>
      <w:tr>
        <w:trPr>
          <w:cantSplit/>
        </w:trPr>
        <w:tc>
          <w:tcPr>
            <w:tcW w:type="dxa" w:w="3800"/>
            <w:vAlign w:val="center"/>
          </w:tcPr>
          <w:p>
            <w:pPr>
              <w:spacing w:after="40" w:line="252" w:lineRule="auto"/>
            </w:pPr>
            <w:r>
              <w:rPr>
                <w:rFonts w:ascii="Calibri" w:hAnsi="Calibri"/>
                <w:b w:val="0"/>
                <w:i w:val="0"/>
                <w:color w:val="163A63"/>
                <w:sz w:val="17"/>
              </w:rPr>
              <w:t>bin\Win32\Debug\FMXPilot.exe</w:t>
            </w:r>
          </w:p>
        </w:tc>
        <w:tc>
          <w:tcPr>
            <w:tcW w:type="dxa" w:w="4060"/>
            <w:vAlign w:val="center"/>
          </w:tcPr>
          <w:p>
            <w:pPr>
              <w:spacing w:after="40" w:line="252" w:lineRule="auto"/>
            </w:pPr>
            <w:r>
              <w:rPr>
                <w:rFonts w:ascii="Calibri" w:hAnsi="Calibri"/>
                <w:b w:val="0"/>
                <w:i w:val="0"/>
                <w:color w:val="163A63"/>
                <w:sz w:val="17"/>
              </w:rPr>
              <w:t>TC-14 through TC-19 in full.</w:t>
            </w:r>
          </w:p>
        </w:tc>
        <w:tc>
          <w:tcPr>
            <w:tcW w:type="dxa" w:w="1500"/>
            <w:vAlign w:val="center"/>
          </w:tcPr>
          <w:p>
            <w:pPr>
              <w:spacing w:after="40" w:line="252" w:lineRule="auto"/>
            </w:pPr>
            <w:r>
              <w:rPr>
                <w:rFonts w:ascii="Calibri" w:hAnsi="Calibri"/>
                <w:b w:val="0"/>
                <w:i w:val="0"/>
                <w:color w:val="163A63"/>
                <w:sz w:val="17"/>
              </w:rPr>
              <w:t>PASS / FAIL</w:t>
            </w:r>
          </w:p>
        </w:tc>
      </w:tr>
      <w:tr>
        <w:trPr>
          <w:cantSplit/>
        </w:trPr>
        <w:tc>
          <w:tcPr>
            <w:tcW w:type="dxa" w:w="3800"/>
            <w:vAlign w:val="center"/>
            <w:shd w:fill="F6F9FC"/>
          </w:tcPr>
          <w:p>
            <w:pPr>
              <w:spacing w:after="40" w:line="252" w:lineRule="auto"/>
            </w:pPr>
            <w:r>
              <w:rPr>
                <w:rFonts w:ascii="Calibri" w:hAnsi="Calibri"/>
                <w:b w:val="0"/>
                <w:i w:val="0"/>
                <w:color w:val="163A63"/>
                <w:sz w:val="17"/>
              </w:rPr>
              <w:t>bin\Win64\Debug\FMXPilot.exe</w:t>
            </w:r>
          </w:p>
        </w:tc>
        <w:tc>
          <w:tcPr>
            <w:tcW w:type="dxa" w:w="4060"/>
            <w:vAlign w:val="center"/>
            <w:shd w:fill="F6F9FC"/>
          </w:tcPr>
          <w:p>
            <w:pPr>
              <w:spacing w:after="40" w:line="252" w:lineRule="auto"/>
            </w:pPr>
            <w:r>
              <w:rPr>
                <w:rFonts w:ascii="Calibri" w:hAnsi="Calibri"/>
                <w:b w:val="0"/>
                <w:i w:val="0"/>
                <w:color w:val="163A63"/>
                <w:sz w:val="17"/>
              </w:rPr>
              <w:t>Launch, switch both directions, date range/state, restart, offline.</w:t>
            </w:r>
          </w:p>
        </w:tc>
        <w:tc>
          <w:tcPr>
            <w:tcW w:type="dxa" w:w="1500"/>
            <w:vAlign w:val="center"/>
            <w:shd w:fill="F6F9FC"/>
          </w:tcPr>
          <w:p>
            <w:pPr>
              <w:spacing w:after="40" w:line="252" w:lineRule="auto"/>
            </w:pPr>
            <w:r>
              <w:rPr>
                <w:rFonts w:ascii="Calibri" w:hAnsi="Calibri"/>
                <w:b w:val="0"/>
                <w:i w:val="0"/>
                <w:color w:val="163A63"/>
                <w:sz w:val="17"/>
              </w:rPr>
              <w:t>PASS / FAIL</w:t>
            </w:r>
          </w:p>
        </w:tc>
      </w:tr>
      <w:tr>
        <w:trPr>
          <w:cantSplit/>
        </w:trPr>
        <w:tc>
          <w:tcPr>
            <w:tcW w:type="dxa" w:w="3800"/>
            <w:vAlign w:val="center"/>
          </w:tcPr>
          <w:p>
            <w:pPr>
              <w:spacing w:after="40" w:line="252" w:lineRule="auto"/>
            </w:pPr>
            <w:r>
              <w:rPr>
                <w:rFonts w:ascii="Calibri" w:hAnsi="Calibri"/>
                <w:b w:val="0"/>
                <w:i w:val="0"/>
                <w:color w:val="163A63"/>
                <w:sz w:val="17"/>
              </w:rPr>
              <w:t>bin\Win32\Release\FMXPilot.exe</w:t>
            </w:r>
          </w:p>
        </w:tc>
        <w:tc>
          <w:tcPr>
            <w:tcW w:type="dxa" w:w="4060"/>
            <w:vAlign w:val="center"/>
          </w:tcPr>
          <w:p>
            <w:pPr>
              <w:spacing w:after="40" w:line="252" w:lineRule="auto"/>
            </w:pPr>
            <w:r>
              <w:rPr>
                <w:rFonts w:ascii="Calibri" w:hAnsi="Calibri"/>
                <w:b w:val="0"/>
                <w:i w:val="0"/>
                <w:color w:val="163A63"/>
                <w:sz w:val="17"/>
              </w:rPr>
              <w:t>After Release build/deploy: launch, switch, restart, offline.</w:t>
            </w:r>
          </w:p>
        </w:tc>
        <w:tc>
          <w:tcPr>
            <w:tcW w:type="dxa" w:w="1500"/>
            <w:vAlign w:val="center"/>
          </w:tcPr>
          <w:p>
            <w:pPr>
              <w:spacing w:after="40" w:line="252" w:lineRule="auto"/>
            </w:pPr>
            <w:r>
              <w:rPr>
                <w:rFonts w:ascii="Calibri" w:hAnsi="Calibri"/>
                <w:b w:val="0"/>
                <w:i w:val="0"/>
                <w:color w:val="163A63"/>
                <w:sz w:val="17"/>
              </w:rPr>
              <w:t>PASS / FAIL / N/A</w:t>
            </w:r>
          </w:p>
        </w:tc>
      </w:tr>
      <w:tr>
        <w:trPr>
          <w:cantSplit/>
        </w:trPr>
        <w:tc>
          <w:tcPr>
            <w:tcW w:type="dxa" w:w="3800"/>
            <w:vAlign w:val="center"/>
            <w:shd w:fill="F6F9FC"/>
          </w:tcPr>
          <w:p>
            <w:pPr>
              <w:spacing w:after="40" w:line="252" w:lineRule="auto"/>
            </w:pPr>
            <w:r>
              <w:rPr>
                <w:rFonts w:ascii="Calibri" w:hAnsi="Calibri"/>
                <w:b w:val="0"/>
                <w:i w:val="0"/>
                <w:color w:val="163A63"/>
                <w:sz w:val="17"/>
              </w:rPr>
              <w:t>bin\Win64\Release\FMXPilot.exe</w:t>
            </w:r>
          </w:p>
        </w:tc>
        <w:tc>
          <w:tcPr>
            <w:tcW w:type="dxa" w:w="4060"/>
            <w:vAlign w:val="center"/>
            <w:shd w:fill="F6F9FC"/>
          </w:tcPr>
          <w:p>
            <w:pPr>
              <w:spacing w:after="40" w:line="252" w:lineRule="auto"/>
            </w:pPr>
            <w:r>
              <w:rPr>
                <w:rFonts w:ascii="Calibri" w:hAnsi="Calibri"/>
                <w:b w:val="0"/>
                <w:i w:val="0"/>
                <w:color w:val="163A63"/>
                <w:sz w:val="17"/>
              </w:rPr>
              <w:t>After Release build/deploy: launch, switch, restart, offline.</w:t>
            </w:r>
          </w:p>
        </w:tc>
        <w:tc>
          <w:tcPr>
            <w:tcW w:type="dxa" w:w="1500"/>
            <w:vAlign w:val="center"/>
            <w:shd w:fill="F6F9FC"/>
          </w:tcPr>
          <w:p>
            <w:pPr>
              <w:spacing w:after="40" w:line="252" w:lineRule="auto"/>
            </w:pPr>
            <w:r>
              <w:rPr>
                <w:rFonts w:ascii="Calibri" w:hAnsi="Calibri"/>
                <w:b w:val="0"/>
                <w:i w:val="0"/>
                <w:color w:val="163A63"/>
                <w:sz w:val="17"/>
              </w:rPr>
              <w:t>PASS / FAIL / N/A</w:t>
            </w:r>
          </w:p>
        </w:tc>
      </w:tr>
    </w:tbl>
    <w:p/>
    <w:p>
      <w:pPr>
        <w:pStyle w:val="Heading1"/>
      </w:pPr>
      <w:r>
        <w:t>9. VCL Acceptance Delta</w:t>
      </w:r>
    </w:p>
    <w:p>
      <w:r>
        <w:t>Repeat the component workflow with a disposable VCL project when formal VCL acceptance is required. Install DATLanguageManagerVCLDesign.bpl, generate a VCL component kit, place one TDATVCLLanguageManager on the primary VCL form, and optionally place TDATVCLLanguageComboBox. The component-source path and JSON deployment pattern are otherwise the same.</w:t>
      </w:r>
    </w:p>
    <w:tbl>
      <w:tblPr>
        <w:tblStyle w:val="TableGrid"/>
        <w:jc w:val="center"/>
        <w:tblLook w:firstColumn="1" w:firstRow="1" w:lastColumn="0" w:lastRow="0" w:noHBand="0" w:noVBand="1" w:val="04A0"/>
        <w:tblW w:w="9360" w:type="dxa"/>
        <w:tblInd w:w="120" w:type="dxa"/>
        <w:tblLayout w:type="fixed"/>
        <w:tblCellMar>
          <w:top w:w="80" w:type="dxa"/>
          <w:bottom w:w="80" w:type="dxa"/>
          <w:start w:w="120" w:type="dxa"/>
          <w:end w:w="120" w:type="dxa"/>
        </w:tblCellMar>
      </w:tblPr>
      <w:tblGrid>
        <w:gridCol w:w="2900"/>
        <w:gridCol w:w="6460"/>
      </w:tblGrid>
      <w:tr>
        <w:trPr>
          <w:tblHeader w:val="true"/>
        </w:trPr>
        <w:tc>
          <w:tcPr>
            <w:tcW w:type="dxa" w:w="2900"/>
            <w:shd w:fill="234C80"/>
            <w:vAlign w:val="center"/>
          </w:tcPr>
          <w:p>
            <w:r>
              <w:rPr>
                <w:rFonts w:ascii="Calibri" w:hAnsi="Calibri"/>
                <w:b/>
                <w:i w:val="0"/>
                <w:color w:val="FFFFFF"/>
                <w:sz w:val="18"/>
              </w:rPr>
              <w:t>VCL scenario</w:t>
            </w:r>
          </w:p>
        </w:tc>
        <w:tc>
          <w:tcPr>
            <w:tcW w:type="dxa" w:w="6460"/>
            <w:shd w:fill="234C80"/>
            <w:vAlign w:val="center"/>
          </w:tcPr>
          <w:p>
            <w:r>
              <w:rPr>
                <w:rFonts w:ascii="Calibri" w:hAnsi="Calibri"/>
                <w:b/>
                <w:i w:val="0"/>
                <w:color w:val="FFFFFF"/>
                <w:sz w:val="18"/>
              </w:rPr>
              <w:t>Expected behavior</w:t>
            </w:r>
          </w:p>
        </w:tc>
      </w:tr>
      <w:tr>
        <w:trPr>
          <w:cantSplit/>
        </w:trPr>
        <w:tc>
          <w:tcPr>
            <w:tcW w:type="dxa" w:w="2900"/>
            <w:vAlign w:val="center"/>
          </w:tcPr>
          <w:p>
            <w:pPr>
              <w:spacing w:after="40" w:line="252" w:lineRule="auto"/>
            </w:pPr>
            <w:r>
              <w:rPr>
                <w:rFonts w:ascii="Calibri" w:hAnsi="Calibri"/>
                <w:b w:val="0"/>
                <w:i w:val="0"/>
                <w:color w:val="163A63"/>
                <w:sz w:val="18"/>
              </w:rPr>
              <w:t>Primary and existing forms</w:t>
            </w:r>
          </w:p>
        </w:tc>
        <w:tc>
          <w:tcPr>
            <w:tcW w:type="dxa" w:w="6460"/>
            <w:vAlign w:val="center"/>
          </w:tcPr>
          <w:p>
            <w:pPr>
              <w:spacing w:after="40" w:line="252" w:lineRule="auto"/>
            </w:pPr>
            <w:r>
              <w:rPr>
                <w:rFonts w:ascii="Calibri" w:hAnsi="Calibri"/>
                <w:b w:val="0"/>
                <w:i w:val="0"/>
                <w:color w:val="163A63"/>
                <w:sz w:val="18"/>
              </w:rPr>
              <w:t>Manager applies the active pack and discovers ordinary forms through its private TApplicationEvents lifecycle.</w:t>
            </w:r>
          </w:p>
        </w:tc>
      </w:tr>
      <w:tr>
        <w:trPr>
          <w:cantSplit/>
        </w:trPr>
        <w:tc>
          <w:tcPr>
            <w:tcW w:type="dxa" w:w="2900"/>
            <w:vAlign w:val="center"/>
            <w:shd w:fill="F6F9FC"/>
          </w:tcPr>
          <w:p>
            <w:pPr>
              <w:spacing w:after="40" w:line="252" w:lineRule="auto"/>
            </w:pPr>
            <w:r>
              <w:rPr>
                <w:rFonts w:ascii="Calibri" w:hAnsi="Calibri"/>
                <w:b w:val="0"/>
                <w:i w:val="0"/>
                <w:color w:val="163A63"/>
                <w:sz w:val="18"/>
              </w:rPr>
              <w:t>Modal form</w:t>
            </w:r>
          </w:p>
        </w:tc>
        <w:tc>
          <w:tcPr>
            <w:tcW w:type="dxa" w:w="6460"/>
            <w:vAlign w:val="center"/>
            <w:shd w:fill="F6F9FC"/>
          </w:tcPr>
          <w:p>
            <w:pPr>
              <w:spacing w:after="40" w:line="252" w:lineRule="auto"/>
            </w:pPr>
            <w:r>
              <w:rPr>
                <w:rFonts w:ascii="Calibri" w:hAnsi="Calibri"/>
                <w:b w:val="0"/>
                <w:i w:val="0"/>
                <w:color w:val="163A63"/>
                <w:sz w:val="18"/>
              </w:rPr>
              <w:t>Manager handles the modal display boundary before normal interaction.</w:t>
            </w:r>
          </w:p>
        </w:tc>
      </w:tr>
      <w:tr>
        <w:trPr>
          <w:cantSplit/>
        </w:trPr>
        <w:tc>
          <w:tcPr>
            <w:tcW w:type="dxa" w:w="2900"/>
            <w:vAlign w:val="center"/>
          </w:tcPr>
          <w:p>
            <w:pPr>
              <w:spacing w:after="40" w:line="252" w:lineRule="auto"/>
            </w:pPr>
            <w:r>
              <w:rPr>
                <w:rFonts w:ascii="Calibri" w:hAnsi="Calibri"/>
                <w:b w:val="0"/>
                <w:i w:val="0"/>
                <w:color w:val="163A63"/>
                <w:sz w:val="18"/>
              </w:rPr>
              <w:t>Dynamically created modeless form</w:t>
            </w:r>
          </w:p>
        </w:tc>
        <w:tc>
          <w:tcPr>
            <w:tcW w:type="dxa" w:w="6460"/>
            <w:vAlign w:val="center"/>
          </w:tcPr>
          <w:p>
            <w:pPr>
              <w:spacing w:after="40" w:line="252" w:lineRule="auto"/>
            </w:pPr>
            <w:r>
              <w:rPr>
                <w:rFonts w:ascii="Calibri" w:hAnsi="Calibri"/>
                <w:b w:val="0"/>
                <w:i w:val="0"/>
                <w:color w:val="163A63"/>
                <w:sz w:val="18"/>
              </w:rPr>
              <w:t>VCL has no public additive before-show notification for every such form. If first-paint translation must be flicker-free, call LanguageManager.ApplyToForm(NewForm) after construction and before NewForm.Show.</w:t>
            </w:r>
          </w:p>
        </w:tc>
      </w:tr>
      <w:tr>
        <w:trPr>
          <w:cantSplit/>
        </w:trPr>
        <w:tc>
          <w:tcPr>
            <w:tcW w:type="dxa" w:w="2900"/>
            <w:vAlign w:val="center"/>
            <w:shd w:fill="F6F9FC"/>
          </w:tcPr>
          <w:p>
            <w:pPr>
              <w:spacing w:after="40" w:line="252" w:lineRule="auto"/>
            </w:pPr>
            <w:r>
              <w:rPr>
                <w:rFonts w:ascii="Calibri" w:hAnsi="Calibri"/>
                <w:b w:val="0"/>
                <w:i w:val="0"/>
                <w:color w:val="163A63"/>
                <w:sz w:val="18"/>
              </w:rPr>
              <w:t>State protection</w:t>
            </w:r>
          </w:p>
        </w:tc>
        <w:tc>
          <w:tcPr>
            <w:tcW w:type="dxa" w:w="6460"/>
            <w:vAlign w:val="center"/>
            <w:shd w:fill="F6F9FC"/>
          </w:tcPr>
          <w:p>
            <w:pPr>
              <w:spacing w:after="40" w:line="252" w:lineRule="auto"/>
            </w:pPr>
            <w:r>
              <w:rPr>
                <w:rFonts w:ascii="Calibri" w:hAnsi="Calibri"/>
                <w:b w:val="0"/>
                <w:i w:val="0"/>
                <w:color w:val="163A63"/>
                <w:sz w:val="18"/>
              </w:rPr>
              <w:t>Writable edits/memos, focus, selection, and list/combo indexes remain intact when switching.</w:t>
            </w:r>
          </w:p>
        </w:tc>
      </w:tr>
    </w:tbl>
    <w:p/>
    <w:p>
      <w:pPr>
        <w:pStyle w:val="Heading1"/>
      </w:pPr>
      <w:r>
        <w:t>10. Studio Self-Translation</w:t>
      </w:r>
    </w:p>
    <w:p>
      <w:r>
        <w:t>The Studio can scan and translate its own project. The automated self-localization test uses samples\StudioSelfLocalization\it-IT.json, temporarily deploys it under the Studio project Localization\Languages folder, writes %LOCALAPPDATA%\DelphiAppTranslationStudio\language.ini, launches all four Studio executables, expects the Italian title, and restores any previous files in a finally block.</w:t>
      </w:r>
    </w:p>
    <w:p>
      <w:pPr>
        <w:pStyle w:val="CodeBlock"/>
      </w:pPr>
      <w:r>
        <w:t>cd "C:\DelphiProjects\Delphi App Translation"</w:t>
      </w:r>
    </w:p>
    <w:p>
      <w:pPr>
        <w:pStyle w:val="CodeBlock"/>
      </w:pPr>
      <w:r>
        <w:t>powershell.exe -ExecutionPolicy Bypass -File .\tools\tests\RunStudioSelfLocalizationSmokeTest.ps1</w:t>
      </w:r>
    </w:p>
    <w:p>
      <w:pPr>
        <w:pStyle w:val="ListBullet"/>
      </w:pPr>
      <w:r>
        <w:t>Expected title: Studio di traduzione app Delphi.</w:t>
      </w:r>
    </w:p>
    <w:p>
      <w:pPr>
        <w:pStyle w:val="ListBullet"/>
      </w:pPr>
      <w:r>
        <w:t>Expected matrix: Win32/Win64 Debug/Release all Passed=True.</w:t>
      </w:r>
    </w:p>
    <w:p>
      <w:pPr>
        <w:pStyle w:val="ListBullet"/>
      </w:pPr>
      <w:r>
        <w:t>Expected final line: Studio self-localization smoke tests passed.</w:t>
      </w:r>
    </w:p>
    <w:p>
      <w:pPr>
        <w:pStyle w:val="ListBullet"/>
      </w:pPr>
      <w:r>
        <w:t>The script must restore the prior Italian pack and language preference or remove its temporary files when none existed.</w:t>
      </w:r>
    </w:p>
    <w:p>
      <w:pPr>
        <w:pStyle w:val="Heading1"/>
      </w:pPr>
      <w:r>
        <w:t>11. Starting Over and Dependency Recovery</w:t>
      </w:r>
    </w:p>
    <w:p>
      <w:pPr>
        <w:pStyle w:val="Heading2"/>
      </w:pPr>
      <w:r>
        <w:t>11.1 Recommended component path</w:t>
      </w:r>
    </w:p>
    <w:p>
      <w:r>
        <w:t>Component Integration writes only generated localization data and the managed dependencies folder, so its clean restart procedure is deliberately ordinary and transparent. In the disposable target, close the application, use Git or the Form Designer to inspect/revert the manually added manager and selector, remove the one developer-owned Project Options Search Path entry when it is no longer needed, and remove only generated Localization and dependency data after confirming the exact paths.</w:t>
      </w:r>
    </w:p>
    <w:p>
      <w:r>
        <w:t>Regenerating a component kit replaces generated files under the Studio export root. Preparing dependencies atomically refreshes the single project-local dependencies\DelphiAppTranslation tree, and direct deployment replaces the canonical JSON set beside each selected executable so retired locale packs are not left stale.</w:t>
      </w:r>
    </w:p>
    <w:tbl>
      <w:tblPr>
        <w:jc w:val="center"/>
        <w:tblLook w:firstColumn="1" w:firstRow="1" w:lastColumn="0" w:lastRow="0" w:noHBand="0" w:noVBand="1" w:val="04A0"/>
        <w:tblW w:w="9360" w:type="dxa"/>
        <w:tblInd w:w="120" w:type="dxa"/>
        <w:tblLayout w:type="fixed"/>
        <w:tblCellMar>
          <w:top w:w="80" w:type="dxa"/>
          <w:bottom w:w="80" w:type="dxa"/>
          <w:start w:w="120" w:type="dxa"/>
          <w:end w:w="120" w:type="dxa"/>
        </w:tblCellMar>
      </w:tblPr>
      <w:tblGrid>
        <w:gridCol w:w="9360"/>
      </w:tblGrid>
      <w:tr>
        <w:trPr>
          <w:cantSplit/>
          <w:tblHeader w:val="true"/>
        </w:trPr>
        <w:tc>
          <w:tcPr>
            <w:tcW w:type="dxa" w:w="9360"/>
            <w:shd w:fill="EAF3FF"/>
            <w:vAlign w:val="center"/>
          </w:tcPr>
          <w:p>
            <w:pPr>
              <w:pStyle w:val="Callout"/>
            </w:pPr>
            <w:r>
              <w:rPr>
                <w:b/>
                <w:color w:val="234C80"/>
              </w:rPr>
              <w:t xml:space="preserve">Target-source reset is intentionally unavailable. </w:t>
            </w:r>
            <w:r>
              <w:t>Apply, Restore, and Complete Reset remain disabled because the Studio does not own target Pascal, form, DPR, or DPROJ files. Revert developer-authored IDE changes through Git or the Form Designer. Refresh or remove only the clearly named managed dependency and generated Localization areas after reviewing their exact paths.</w:t>
            </w:r>
          </w:p>
        </w:tc>
      </w:tr>
    </w:tbl>
    <w:p>
      <w:pPr>
        <w:pStyle w:val="Heading2"/>
      </w:pPr>
      <w:r>
        <w:t>11.2 Managed dependency recovery test</w:t>
      </w:r>
    </w:p>
    <w:p>
      <w:pPr>
        <w:pStyle w:val="ListNumber"/>
        <w:numPr>
          <w:ilvl w:val="0"/>
          <w:numId w:val="33"/>
        </w:numPr>
      </w:pPr>
      <w:r>
        <w:t>Use only a disposable target that has completed Prepare / Update Dependencies.</w:t>
      </w:r>
    </w:p>
    <w:p>
      <w:pPr>
        <w:pStyle w:val="ListNumber"/>
        <w:numPr>
          <w:ilvl w:val="0"/>
          <w:numId w:val="33"/>
        </w:numPr>
      </w:pPr>
      <w:r>
        <w:t>Record the SHA-256 hash of the target DPROJ and one DAT unit under dependencies\DelphiAppTranslation\source.</w:t>
      </w:r>
    </w:p>
    <w:p>
      <w:pPr>
        <w:pStyle w:val="ListNumber"/>
        <w:numPr>
          <w:ilvl w:val="0"/>
          <w:numId w:val="33"/>
        </w:numPr>
      </w:pPr>
      <w:r>
        <w:t>Make a clearly disposable change to that dependency copy so it no longer matches the generated kit. Do not edit target source or project files.</w:t>
      </w:r>
    </w:p>
    <w:p>
      <w:pPr>
        <w:pStyle w:val="ListNumber"/>
        <w:numPr>
          <w:ilvl w:val="0"/>
          <w:numId w:val="33"/>
        </w:numPr>
      </w:pPr>
      <w:r>
        <w:t>Choose Prepare / Update Dependencies again.</w:t>
      </w:r>
    </w:p>
    <w:p>
      <w:pPr>
        <w:pStyle w:val="ListNumber"/>
        <w:numPr>
          <w:ilvl w:val="0"/>
          <w:numId w:val="33"/>
        </w:numPr>
      </w:pPr>
      <w:r>
        <w:t>Confirm the Studio reports the previous dependency snapshot and atomically restores the canonical DAT unit from the current kit.</w:t>
      </w:r>
    </w:p>
    <w:p>
      <w:pPr>
        <w:pStyle w:val="ListNumber"/>
        <w:numPr>
          <w:ilvl w:val="0"/>
          <w:numId w:val="33"/>
        </w:numPr>
      </w:pPr>
      <w:r>
        <w:t>Confirm the target DPROJ hash is unchanged, the dependency tree is present exactly once, and no DelphiAppTranslation.targets file exists.</w:t>
      </w:r>
    </w:p>
    <w:p>
      <w:pPr>
        <w:pStyle w:val="ListNumber"/>
        <w:numPr>
          <w:ilvl w:val="0"/>
          <w:numId w:val="33"/>
        </w:numPr>
      </w:pPr>
      <w:r>
        <w:t>Build and run the disposable target, then compare Git status/diff with the expected dependency-only refresh.</w:t>
      </w:r>
    </w:p>
    <w:p>
      <w:pPr>
        <w:pStyle w:val="ListBullet"/>
      </w:pPr>
      <w:r>
        <w:t>The stale dependency copy is replaced by the verified current kit version.</w:t>
      </w:r>
    </w:p>
    <w:p>
      <w:pPr>
        <w:pStyle w:val="ListBullet"/>
      </w:pPr>
      <w:r>
        <w:t>The one managed dependency location is refreshed rather than duplicated or nested.</w:t>
      </w:r>
    </w:p>
    <w:p>
      <w:pPr>
        <w:pStyle w:val="ListBullet"/>
      </w:pPr>
      <w:r>
        <w:t>The prior dependency snapshot is retained in the reported backup location.</w:t>
      </w:r>
    </w:p>
    <w:p>
      <w:pPr>
        <w:pStyle w:val="ListBullet"/>
      </w:pPr>
      <w:r>
        <w:t>Target Pascal, DPR, DPROJ, DFM, and FMX files remain byte-for-byte unchanged.</w:t>
      </w:r>
    </w:p>
    <w:p>
      <w:pPr>
        <w:pStyle w:val="ListBullet"/>
      </w:pPr>
      <w:r>
        <w:t>A failed staged copy or promotion restores the previous managed dependency tree and reports the failure.</w:t>
      </w:r>
    </w:p>
    <w:p>
      <w:pPr>
        <w:pStyle w:val="Heading1"/>
      </w:pPr>
      <w:r>
        <w:t>12. Negative and Recovery Tests</w:t>
      </w:r>
    </w:p>
    <w:tbl>
      <w:tblPr>
        <w:tblStyle w:val="TableGrid"/>
        <w:jc w:val="center"/>
        <w:tblLook w:firstColumn="1" w:firstRow="1" w:lastColumn="0" w:lastRow="0" w:noHBand="0" w:noVBand="1" w:val="04A0"/>
        <w:tblW w:w="9360" w:type="dxa"/>
        <w:tblInd w:w="120" w:type="dxa"/>
        <w:tblLayout w:type="fixed"/>
        <w:tblCellMar>
          <w:top w:w="80" w:type="dxa"/>
          <w:bottom w:w="80" w:type="dxa"/>
          <w:start w:w="120" w:type="dxa"/>
          <w:end w:w="120" w:type="dxa"/>
        </w:tblCellMar>
      </w:tblPr>
      <w:tblGrid>
        <w:gridCol w:w="1850"/>
        <w:gridCol w:w="3150"/>
        <w:gridCol w:w="4360"/>
      </w:tblGrid>
      <w:tr>
        <w:trPr>
          <w:tblHeader w:val="true"/>
        </w:trPr>
        <w:tc>
          <w:tcPr>
            <w:tcW w:type="dxa" w:w="1850"/>
            <w:shd w:fill="234C80"/>
            <w:vAlign w:val="center"/>
          </w:tcPr>
          <w:p>
            <w:r>
              <w:rPr>
                <w:rFonts w:ascii="Calibri" w:hAnsi="Calibri"/>
                <w:b/>
                <w:i w:val="0"/>
                <w:color w:val="FFFFFF"/>
                <w:sz w:val="17"/>
              </w:rPr>
              <w:t>Condition</w:t>
            </w:r>
          </w:p>
        </w:tc>
        <w:tc>
          <w:tcPr>
            <w:tcW w:type="dxa" w:w="3150"/>
            <w:shd w:fill="234C80"/>
            <w:vAlign w:val="center"/>
          </w:tcPr>
          <w:p>
            <w:r>
              <w:rPr>
                <w:rFonts w:ascii="Calibri" w:hAnsi="Calibri"/>
                <w:b/>
                <w:i w:val="0"/>
                <w:color w:val="FFFFFF"/>
                <w:sz w:val="17"/>
              </w:rPr>
              <w:t>Action</w:t>
            </w:r>
          </w:p>
        </w:tc>
        <w:tc>
          <w:tcPr>
            <w:tcW w:type="dxa" w:w="4360"/>
            <w:shd w:fill="234C80"/>
            <w:vAlign w:val="center"/>
          </w:tcPr>
          <w:p>
            <w:r>
              <w:rPr>
                <w:rFonts w:ascii="Calibri" w:hAnsi="Calibri"/>
                <w:b/>
                <w:i w:val="0"/>
                <w:color w:val="FFFFFF"/>
                <w:sz w:val="17"/>
              </w:rPr>
              <w:t>Expected result</w:t>
            </w:r>
          </w:p>
        </w:tc>
      </w:tr>
      <w:tr>
        <w:trPr>
          <w:cantSplit/>
        </w:trPr>
        <w:tc>
          <w:tcPr>
            <w:tcW w:type="dxa" w:w="1850"/>
            <w:vAlign w:val="center"/>
          </w:tcPr>
          <w:p>
            <w:pPr>
              <w:spacing w:after="40" w:line="252" w:lineRule="auto"/>
            </w:pPr>
            <w:r>
              <w:rPr>
                <w:rFonts w:ascii="Calibri" w:hAnsi="Calibri"/>
                <w:b w:val="0"/>
                <w:i w:val="0"/>
                <w:color w:val="163A63"/>
                <w:sz w:val="17"/>
              </w:rPr>
              <w:t>No API key</w:t>
            </w:r>
          </w:p>
        </w:tc>
        <w:tc>
          <w:tcPr>
            <w:tcW w:type="dxa" w:w="3150"/>
            <w:vAlign w:val="center"/>
          </w:tcPr>
          <w:p>
            <w:pPr>
              <w:spacing w:after="40" w:line="252" w:lineRule="auto"/>
            </w:pPr>
            <w:r>
              <w:rPr>
                <w:rFonts w:ascii="Calibri" w:hAnsi="Calibri"/>
                <w:b w:val="0"/>
                <w:i w:val="0"/>
                <w:color w:val="163A63"/>
                <w:sz w:val="17"/>
              </w:rPr>
              <w:t>Choose Translate Automatically.</w:t>
            </w:r>
          </w:p>
        </w:tc>
        <w:tc>
          <w:tcPr>
            <w:tcW w:type="dxa" w:w="4360"/>
            <w:vAlign w:val="center"/>
          </w:tcPr>
          <w:p>
            <w:pPr>
              <w:spacing w:after="40" w:line="252" w:lineRule="auto"/>
            </w:pPr>
            <w:r>
              <w:rPr>
                <w:rFonts w:ascii="Calibri" w:hAnsi="Calibri"/>
                <w:b w:val="0"/>
                <w:i w:val="0"/>
                <w:color w:val="163A63"/>
                <w:sz w:val="17"/>
              </w:rPr>
              <w:t>Studio moves to Provider Settings and explains which provider key is missing; catalog remains usable.</w:t>
            </w:r>
          </w:p>
        </w:tc>
      </w:tr>
      <w:tr>
        <w:trPr>
          <w:cantSplit/>
        </w:trPr>
        <w:tc>
          <w:tcPr>
            <w:tcW w:type="dxa" w:w="1850"/>
            <w:vAlign w:val="center"/>
            <w:shd w:fill="F6F9FC"/>
          </w:tcPr>
          <w:p>
            <w:pPr>
              <w:spacing w:after="40" w:line="252" w:lineRule="auto"/>
            </w:pPr>
            <w:r>
              <w:rPr>
                <w:rFonts w:ascii="Calibri" w:hAnsi="Calibri"/>
                <w:b w:val="0"/>
                <w:i w:val="0"/>
                <w:color w:val="163A63"/>
                <w:sz w:val="17"/>
              </w:rPr>
              <w:t>Wrong DeepL plan</w:t>
            </w:r>
          </w:p>
        </w:tc>
        <w:tc>
          <w:tcPr>
            <w:tcW w:type="dxa" w:w="3150"/>
            <w:vAlign w:val="center"/>
            <w:shd w:fill="F6F9FC"/>
          </w:tcPr>
          <w:p>
            <w:pPr>
              <w:spacing w:after="40" w:line="252" w:lineRule="auto"/>
            </w:pPr>
            <w:r>
              <w:rPr>
                <w:rFonts w:ascii="Calibri" w:hAnsi="Calibri"/>
                <w:b w:val="0"/>
                <w:i w:val="0"/>
                <w:color w:val="163A63"/>
                <w:sz w:val="17"/>
              </w:rPr>
              <w:t>Use Free key with Pro endpoint or vice versa, then Test Connection.</w:t>
            </w:r>
          </w:p>
        </w:tc>
        <w:tc>
          <w:tcPr>
            <w:tcW w:type="dxa" w:w="4360"/>
            <w:vAlign w:val="center"/>
            <w:shd w:fill="F6F9FC"/>
          </w:tcPr>
          <w:p>
            <w:pPr>
              <w:spacing w:after="40" w:line="252" w:lineRule="auto"/>
            </w:pPr>
            <w:r>
              <w:rPr>
                <w:rFonts w:ascii="Calibri" w:hAnsi="Calibri"/>
                <w:b w:val="0"/>
                <w:i w:val="0"/>
                <w:color w:val="163A63"/>
                <w:sz w:val="17"/>
              </w:rPr>
              <w:t>Connection fails clearly without exposing the key; correct plan can be selected and retried.</w:t>
            </w:r>
          </w:p>
        </w:tc>
      </w:tr>
      <w:tr>
        <w:trPr>
          <w:cantSplit/>
        </w:trPr>
        <w:tc>
          <w:tcPr>
            <w:tcW w:type="dxa" w:w="1850"/>
            <w:vAlign w:val="center"/>
          </w:tcPr>
          <w:p>
            <w:pPr>
              <w:spacing w:after="40" w:line="252" w:lineRule="auto"/>
            </w:pPr>
            <w:r>
              <w:rPr>
                <w:rFonts w:ascii="Calibri" w:hAnsi="Calibri"/>
                <w:b w:val="0"/>
                <w:i w:val="0"/>
                <w:color w:val="163A63"/>
                <w:sz w:val="17"/>
              </w:rPr>
              <w:t>Provider offline/timeout</w:t>
            </w:r>
          </w:p>
        </w:tc>
        <w:tc>
          <w:tcPr>
            <w:tcW w:type="dxa" w:w="3150"/>
            <w:vAlign w:val="center"/>
          </w:tcPr>
          <w:p>
            <w:pPr>
              <w:spacing w:after="40" w:line="252" w:lineRule="auto"/>
            </w:pPr>
            <w:r>
              <w:rPr>
                <w:rFonts w:ascii="Calibri" w:hAnsi="Calibri"/>
                <w:b w:val="0"/>
                <w:i w:val="0"/>
                <w:color w:val="163A63"/>
                <w:sz w:val="17"/>
              </w:rPr>
              <w:t>Disconnect during a disposable provider test.</w:t>
            </w:r>
          </w:p>
        </w:tc>
        <w:tc>
          <w:tcPr>
            <w:tcW w:type="dxa" w:w="4360"/>
            <w:vAlign w:val="center"/>
          </w:tcPr>
          <w:p>
            <w:pPr>
              <w:spacing w:after="40" w:line="252" w:lineRule="auto"/>
            </w:pPr>
            <w:r>
              <w:rPr>
                <w:rFonts w:ascii="Calibri" w:hAnsi="Calibri"/>
                <w:b w:val="0"/>
                <w:i w:val="0"/>
                <w:color w:val="163A63"/>
                <w:sz w:val="17"/>
              </w:rPr>
              <w:t>Bulk translation reports failure; existing catalog data is retained and can be retried.</w:t>
            </w:r>
          </w:p>
        </w:tc>
      </w:tr>
      <w:tr>
        <w:trPr>
          <w:cantSplit/>
        </w:trPr>
        <w:tc>
          <w:tcPr>
            <w:tcW w:type="dxa" w:w="1850"/>
            <w:vAlign w:val="center"/>
            <w:shd w:fill="F6F9FC"/>
          </w:tcPr>
          <w:p>
            <w:pPr>
              <w:spacing w:after="40" w:line="252" w:lineRule="auto"/>
            </w:pPr>
            <w:r>
              <w:rPr>
                <w:rFonts w:ascii="Calibri" w:hAnsi="Calibri"/>
                <w:b w:val="0"/>
                <w:i w:val="0"/>
                <w:color w:val="163A63"/>
                <w:sz w:val="17"/>
              </w:rPr>
              <w:t>Validation error</w:t>
            </w:r>
          </w:p>
        </w:tc>
        <w:tc>
          <w:tcPr>
            <w:tcW w:type="dxa" w:w="3150"/>
            <w:vAlign w:val="center"/>
            <w:shd w:fill="F6F9FC"/>
          </w:tcPr>
          <w:p>
            <w:pPr>
              <w:spacing w:after="40" w:line="252" w:lineRule="auto"/>
            </w:pPr>
            <w:r>
              <w:rPr>
                <w:rFonts w:ascii="Calibri" w:hAnsi="Calibri"/>
                <w:b w:val="0"/>
                <w:i w:val="0"/>
                <w:color w:val="163A63"/>
                <w:sz w:val="17"/>
              </w:rPr>
              <w:t>Blank a translation or break a placeholder.</w:t>
            </w:r>
          </w:p>
        </w:tc>
        <w:tc>
          <w:tcPr>
            <w:tcW w:type="dxa" w:w="4360"/>
            <w:vAlign w:val="center"/>
            <w:shd w:fill="F6F9FC"/>
          </w:tcPr>
          <w:p>
            <w:pPr>
              <w:spacing w:after="40" w:line="252" w:lineRule="auto"/>
            </w:pPr>
            <w:r>
              <w:rPr>
                <w:rFonts w:ascii="Calibri" w:hAnsi="Calibri"/>
                <w:b w:val="0"/>
                <w:i w:val="0"/>
                <w:color w:val="163A63"/>
                <w:sz w:val="17"/>
              </w:rPr>
              <w:t>Validation identifies the entry and Export remains blocked until corrected.</w:t>
            </w:r>
          </w:p>
        </w:tc>
      </w:tr>
      <w:tr>
        <w:trPr>
          <w:cantSplit/>
        </w:trPr>
        <w:tc>
          <w:tcPr>
            <w:tcW w:type="dxa" w:w="1850"/>
            <w:vAlign w:val="center"/>
          </w:tcPr>
          <w:p>
            <w:pPr>
              <w:spacing w:after="40" w:line="252" w:lineRule="auto"/>
            </w:pPr>
            <w:r>
              <w:rPr>
                <w:rFonts w:ascii="Calibri" w:hAnsi="Calibri"/>
                <w:b w:val="0"/>
                <w:i w:val="0"/>
                <w:color w:val="163A63"/>
                <w:sz w:val="17"/>
              </w:rPr>
              <w:t>Wrong application pack</w:t>
            </w:r>
          </w:p>
        </w:tc>
        <w:tc>
          <w:tcPr>
            <w:tcW w:type="dxa" w:w="3150"/>
            <w:vAlign w:val="center"/>
          </w:tcPr>
          <w:p>
            <w:pPr>
              <w:spacing w:after="40" w:line="252" w:lineRule="auto"/>
            </w:pPr>
            <w:r>
              <w:rPr>
                <w:rFonts w:ascii="Calibri" w:hAnsi="Calibri"/>
                <w:b w:val="0"/>
                <w:i w:val="0"/>
                <w:color w:val="163A63"/>
                <w:sz w:val="17"/>
              </w:rPr>
              <w:t>Place another application's JSON beside the target.</w:t>
            </w:r>
          </w:p>
        </w:tc>
        <w:tc>
          <w:tcPr>
            <w:tcW w:type="dxa" w:w="4360"/>
            <w:vAlign w:val="center"/>
          </w:tcPr>
          <w:p>
            <w:pPr>
              <w:spacing w:after="40" w:line="252" w:lineRule="auto"/>
            </w:pPr>
            <w:r>
              <w:rPr>
                <w:rFonts w:ascii="Calibri" w:hAnsi="Calibri"/>
                <w:b w:val="0"/>
                <w:i w:val="0"/>
                <w:color w:val="163A63"/>
                <w:sz w:val="17"/>
              </w:rPr>
              <w:t>Discovery rejects it by applicationId and does not offer it as a valid language.</w:t>
            </w:r>
          </w:p>
        </w:tc>
      </w:tr>
      <w:tr>
        <w:trPr>
          <w:cantSplit/>
        </w:trPr>
        <w:tc>
          <w:tcPr>
            <w:tcW w:type="dxa" w:w="1850"/>
            <w:vAlign w:val="center"/>
            <w:shd w:fill="F6F9FC"/>
          </w:tcPr>
          <w:p>
            <w:pPr>
              <w:spacing w:after="40" w:line="252" w:lineRule="auto"/>
            </w:pPr>
            <w:r>
              <w:rPr>
                <w:rFonts w:ascii="Calibri" w:hAnsi="Calibri"/>
                <w:b w:val="0"/>
                <w:i w:val="0"/>
                <w:color w:val="163A63"/>
                <w:sz w:val="17"/>
              </w:rPr>
              <w:t>Missing component source path</w:t>
            </w:r>
          </w:p>
        </w:tc>
        <w:tc>
          <w:tcPr>
            <w:tcW w:type="dxa" w:w="3150"/>
            <w:vAlign w:val="center"/>
            <w:shd w:fill="F6F9FC"/>
          </w:tcPr>
          <w:p>
            <w:pPr>
              <w:spacing w:after="40" w:line="252" w:lineRule="auto"/>
            </w:pPr>
            <w:r>
              <w:rPr>
                <w:rFonts w:ascii="Calibri" w:hAnsi="Calibri"/>
                <w:b w:val="0"/>
                <w:i w:val="0"/>
                <w:color w:val="163A63"/>
                <w:sz w:val="17"/>
              </w:rPr>
              <w:t>Build a disposable target with the path omitted.</w:t>
            </w:r>
          </w:p>
        </w:tc>
        <w:tc>
          <w:tcPr>
            <w:tcW w:type="dxa" w:w="4360"/>
            <w:vAlign w:val="center"/>
            <w:shd w:fill="F6F9FC"/>
          </w:tcPr>
          <w:p>
            <w:pPr>
              <w:spacing w:after="40" w:line="252" w:lineRule="auto"/>
            </w:pPr>
            <w:r>
              <w:rPr>
                <w:rFonts w:ascii="Calibri" w:hAnsi="Calibri"/>
                <w:b w:val="0"/>
                <w:i w:val="0"/>
                <w:color w:val="163A63"/>
                <w:sz w:val="17"/>
              </w:rPr>
              <w:t>Compiler identifies missing DAT units; adding the exact generated ComponentSource path resolves the problem.</w:t>
            </w:r>
          </w:p>
        </w:tc>
      </w:tr>
      <w:tr>
        <w:trPr>
          <w:cantSplit/>
        </w:trPr>
        <w:tc>
          <w:tcPr>
            <w:tcW w:type="dxa" w:w="1850"/>
            <w:vAlign w:val="center"/>
          </w:tcPr>
          <w:p>
            <w:pPr>
              <w:spacing w:after="40" w:line="252" w:lineRule="auto"/>
            </w:pPr>
            <w:r>
              <w:rPr>
                <w:rFonts w:ascii="Calibri" w:hAnsi="Calibri"/>
                <w:b w:val="0"/>
                <w:i w:val="0"/>
                <w:color w:val="163A63"/>
                <w:sz w:val="17"/>
              </w:rPr>
              <w:t>Missing deployed packs</w:t>
            </w:r>
          </w:p>
        </w:tc>
        <w:tc>
          <w:tcPr>
            <w:tcW w:type="dxa" w:w="3150"/>
            <w:vAlign w:val="center"/>
          </w:tcPr>
          <w:p>
            <w:pPr>
              <w:spacing w:after="40" w:line="252" w:lineRule="auto"/>
            </w:pPr>
            <w:r>
              <w:rPr>
                <w:rFonts w:ascii="Calibri" w:hAnsi="Calibri"/>
                <w:b w:val="0"/>
                <w:i w:val="0"/>
                <w:color w:val="163A63"/>
                <w:sz w:val="17"/>
              </w:rPr>
              <w:t>Launch with no Localization\Languages beside the executable.</w:t>
            </w:r>
          </w:p>
        </w:tc>
        <w:tc>
          <w:tcPr>
            <w:tcW w:type="dxa" w:w="4360"/>
            <w:vAlign w:val="center"/>
          </w:tcPr>
          <w:p>
            <w:pPr>
              <w:spacing w:after="40" w:line="252" w:lineRule="auto"/>
            </w:pPr>
            <w:r>
              <w:rPr>
                <w:rFonts w:ascii="Calibri" w:hAnsi="Calibri"/>
                <w:b w:val="0"/>
                <w:i w:val="0"/>
                <w:color w:val="163A63"/>
                <w:sz w:val="17"/>
              </w:rPr>
              <w:t>Application remains usable in source text according to configured fallback; no cloud call occurs.</w:t>
            </w:r>
          </w:p>
        </w:tc>
      </w:tr>
      <w:tr>
        <w:trPr>
          <w:cantSplit/>
        </w:trPr>
        <w:tc>
          <w:tcPr>
            <w:tcW w:type="dxa" w:w="1850"/>
            <w:vAlign w:val="center"/>
            <w:shd w:fill="F6F9FC"/>
          </w:tcPr>
          <w:p>
            <w:pPr>
              <w:spacing w:after="40" w:line="252" w:lineRule="auto"/>
            </w:pPr>
            <w:r>
              <w:rPr>
                <w:rFonts w:ascii="Calibri" w:hAnsi="Calibri"/>
                <w:b w:val="0"/>
                <w:i w:val="0"/>
                <w:color w:val="163A63"/>
                <w:sz w:val="17"/>
              </w:rPr>
              <w:t>Corrupt preference</w:t>
            </w:r>
          </w:p>
        </w:tc>
        <w:tc>
          <w:tcPr>
            <w:tcW w:type="dxa" w:w="3150"/>
            <w:vAlign w:val="center"/>
            <w:shd w:fill="F6F9FC"/>
          </w:tcPr>
          <w:p>
            <w:pPr>
              <w:spacing w:after="40" w:line="252" w:lineRule="auto"/>
            </w:pPr>
            <w:r>
              <w:rPr>
                <w:rFonts w:ascii="Calibri" w:hAnsi="Calibri"/>
                <w:b w:val="0"/>
                <w:i w:val="0"/>
                <w:color w:val="163A63"/>
                <w:sz w:val="17"/>
              </w:rPr>
              <w:t>Use a disposable malformed language.ini.</w:t>
            </w:r>
          </w:p>
        </w:tc>
        <w:tc>
          <w:tcPr>
            <w:tcW w:type="dxa" w:w="4360"/>
            <w:vAlign w:val="center"/>
            <w:shd w:fill="F6F9FC"/>
          </w:tcPr>
          <w:p>
            <w:pPr>
              <w:spacing w:after="40" w:line="252" w:lineRule="auto"/>
            </w:pPr>
            <w:r>
              <w:rPr>
                <w:rFonts w:ascii="Calibri" w:hAnsi="Calibri"/>
                <w:b w:val="0"/>
                <w:i w:val="0"/>
                <w:color w:val="163A63"/>
                <w:sz w:val="17"/>
              </w:rPr>
              <w:t>Application must not crash; source/default behavior remains recoverable. Restore or remove the test file afterward.</w:t>
            </w:r>
          </w:p>
        </w:tc>
      </w:tr>
    </w:tbl>
    <w:p/>
    <w:p>
      <w:pPr>
        <w:pStyle w:val="Heading1"/>
      </w:pPr>
      <w:r>
        <w:t>13. Performance and Large-Project Checks</w:t>
      </w:r>
    </w:p>
    <w:p>
      <w:r>
        <w:t>Do not impose one fixed scan-time pass threshold across all computers. Record form count, source count, entry count, files scanned, elapsed milliseconds, processor, storage type, and whether antivirus or indexing was active. Compare repeat runs on the same machine and investigate substantial regressions.</w:t>
      </w:r>
    </w:p>
    <w:p>
      <w:r>
        <w:t>For a 90-form project, the acceptance goal is one manager on the primary form, not 90 components. Scan and kit generation should remain read-only. Open a representative set of startup, modal, modeless, inherited, settings, data-entry, and report forms; verify stable identities and translations. Use FormIdentityMappings only where the runtime class/instance does not match the scanner root.</w:t>
      </w:r>
    </w:p>
    <w:tbl>
      <w:tblPr>
        <w:tblStyle w:val="TableGrid"/>
        <w:jc w:val="center"/>
        <w:tblLook w:firstColumn="1" w:firstRow="1" w:lastColumn="0" w:lastRow="0" w:noHBand="0" w:noVBand="1" w:val="04A0"/>
        <w:tblW w:w="9360" w:type="dxa"/>
        <w:tblInd w:w="120" w:type="dxa"/>
        <w:tblLayout w:type="fixed"/>
        <w:tblCellMar>
          <w:top w:w="80" w:type="dxa"/>
          <w:bottom w:w="80" w:type="dxa"/>
          <w:start w:w="120" w:type="dxa"/>
          <w:end w:w="120" w:type="dxa"/>
        </w:tblCellMar>
      </w:tblPr>
      <w:tblGrid>
        <w:gridCol w:w="2200"/>
        <w:gridCol w:w="1250"/>
        <w:gridCol w:w="1250"/>
        <w:gridCol w:w="1250"/>
        <w:gridCol w:w="3410"/>
      </w:tblGrid>
      <w:tr>
        <w:trPr>
          <w:tblHeader w:val="true"/>
        </w:trPr>
        <w:tc>
          <w:tcPr>
            <w:tcW w:type="dxa" w:w="2200"/>
            <w:shd w:fill="234C80"/>
            <w:vAlign w:val="center"/>
          </w:tcPr>
          <w:p>
            <w:r>
              <w:rPr>
                <w:rFonts w:ascii="Calibri" w:hAnsi="Calibri"/>
                <w:b/>
                <w:i w:val="0"/>
                <w:color w:val="FFFFFF"/>
                <w:sz w:val="17"/>
              </w:rPr>
              <w:t>Metric</w:t>
            </w:r>
          </w:p>
        </w:tc>
        <w:tc>
          <w:tcPr>
            <w:tcW w:type="dxa" w:w="1250"/>
            <w:shd w:fill="234C80"/>
            <w:vAlign w:val="center"/>
          </w:tcPr>
          <w:p>
            <w:r>
              <w:rPr>
                <w:rFonts w:ascii="Calibri" w:hAnsi="Calibri"/>
                <w:b/>
                <w:i w:val="0"/>
                <w:color w:val="FFFFFF"/>
                <w:sz w:val="17"/>
              </w:rPr>
              <w:t>Run 1</w:t>
            </w:r>
          </w:p>
        </w:tc>
        <w:tc>
          <w:tcPr>
            <w:tcW w:type="dxa" w:w="1250"/>
            <w:shd w:fill="234C80"/>
            <w:vAlign w:val="center"/>
          </w:tcPr>
          <w:p>
            <w:r>
              <w:rPr>
                <w:rFonts w:ascii="Calibri" w:hAnsi="Calibri"/>
                <w:b/>
                <w:i w:val="0"/>
                <w:color w:val="FFFFFF"/>
                <w:sz w:val="17"/>
              </w:rPr>
              <w:t>Run 2</w:t>
            </w:r>
          </w:p>
        </w:tc>
        <w:tc>
          <w:tcPr>
            <w:tcW w:type="dxa" w:w="1250"/>
            <w:shd w:fill="234C80"/>
            <w:vAlign w:val="center"/>
          </w:tcPr>
          <w:p>
            <w:r>
              <w:rPr>
                <w:rFonts w:ascii="Calibri" w:hAnsi="Calibri"/>
                <w:b/>
                <w:i w:val="0"/>
                <w:color w:val="FFFFFF"/>
                <w:sz w:val="17"/>
              </w:rPr>
              <w:t>Run 3</w:t>
            </w:r>
          </w:p>
        </w:tc>
        <w:tc>
          <w:tcPr>
            <w:tcW w:type="dxa" w:w="3410"/>
            <w:shd w:fill="234C80"/>
            <w:vAlign w:val="center"/>
          </w:tcPr>
          <w:p>
            <w:r>
              <w:rPr>
                <w:rFonts w:ascii="Calibri" w:hAnsi="Calibri"/>
                <w:b/>
                <w:i w:val="0"/>
                <w:color w:val="FFFFFF"/>
                <w:sz w:val="17"/>
              </w:rPr>
              <w:t>Notes</w:t>
            </w:r>
          </w:p>
        </w:tc>
      </w:tr>
      <w:tr>
        <w:trPr>
          <w:cantSplit/>
        </w:trPr>
        <w:tc>
          <w:tcPr>
            <w:tcW w:type="dxa" w:w="2200"/>
            <w:vAlign w:val="center"/>
          </w:tcPr>
          <w:p>
            <w:pPr>
              <w:spacing w:after="40" w:line="252" w:lineRule="auto"/>
            </w:pPr>
            <w:r>
              <w:rPr>
                <w:rFonts w:ascii="Calibri" w:hAnsi="Calibri"/>
                <w:b w:val="0"/>
                <w:i w:val="0"/>
                <w:color w:val="163A63"/>
                <w:sz w:val="17"/>
              </w:rPr>
              <w:t>Forms / source files</w:t>
            </w:r>
          </w:p>
        </w:tc>
        <w:tc>
          <w:tcPr>
            <w:tcW w:type="dxa" w:w="1250"/>
            <w:vAlign w:val="center"/>
          </w:tcPr>
          <w:p>
            <w:pPr>
              <w:spacing w:after="40" w:line="252" w:lineRule="auto"/>
            </w:pPr>
            <w:r>
              <w:rPr>
                <w:rFonts w:ascii="Calibri" w:hAnsi="Calibri"/>
                <w:b w:val="0"/>
                <w:i w:val="0"/>
                <w:color w:val="163A63"/>
                <w:sz w:val="17"/>
              </w:rPr>
            </w:r>
          </w:p>
        </w:tc>
        <w:tc>
          <w:tcPr>
            <w:tcW w:type="dxa" w:w="1250"/>
            <w:vAlign w:val="center"/>
          </w:tcPr>
          <w:p>
            <w:pPr>
              <w:spacing w:after="40" w:line="252" w:lineRule="auto"/>
            </w:pPr>
            <w:r>
              <w:rPr>
                <w:rFonts w:ascii="Calibri" w:hAnsi="Calibri"/>
                <w:b w:val="0"/>
                <w:i w:val="0"/>
                <w:color w:val="163A63"/>
                <w:sz w:val="17"/>
              </w:rPr>
            </w:r>
          </w:p>
        </w:tc>
        <w:tc>
          <w:tcPr>
            <w:tcW w:type="dxa" w:w="1250"/>
            <w:vAlign w:val="center"/>
          </w:tcPr>
          <w:p>
            <w:pPr>
              <w:spacing w:after="40" w:line="252" w:lineRule="auto"/>
            </w:pPr>
            <w:r>
              <w:rPr>
                <w:rFonts w:ascii="Calibri" w:hAnsi="Calibri"/>
                <w:b w:val="0"/>
                <w:i w:val="0"/>
                <w:color w:val="163A63"/>
                <w:sz w:val="17"/>
              </w:rPr>
            </w:r>
          </w:p>
        </w:tc>
        <w:tc>
          <w:tcPr>
            <w:tcW w:type="dxa" w:w="3410"/>
            <w:vAlign w:val="center"/>
          </w:tcPr>
          <w:p>
            <w:pPr>
              <w:spacing w:after="40" w:line="252" w:lineRule="auto"/>
            </w:pPr>
            <w:r>
              <w:rPr>
                <w:rFonts w:ascii="Calibri" w:hAnsi="Calibri"/>
                <w:b w:val="0"/>
                <w:i w:val="0"/>
                <w:color w:val="163A63"/>
                <w:sz w:val="17"/>
              </w:rPr>
            </w:r>
          </w:p>
        </w:tc>
      </w:tr>
      <w:tr>
        <w:trPr>
          <w:cantSplit/>
        </w:trPr>
        <w:tc>
          <w:tcPr>
            <w:tcW w:type="dxa" w:w="2200"/>
            <w:vAlign w:val="center"/>
            <w:shd w:fill="F6F9FC"/>
          </w:tcPr>
          <w:p>
            <w:pPr>
              <w:spacing w:after="40" w:line="252" w:lineRule="auto"/>
            </w:pPr>
            <w:r>
              <w:rPr>
                <w:rFonts w:ascii="Calibri" w:hAnsi="Calibri"/>
                <w:b w:val="0"/>
                <w:i w:val="0"/>
                <w:color w:val="163A63"/>
                <w:sz w:val="17"/>
              </w:rPr>
              <w:t>Translatable entries</w:t>
            </w:r>
          </w:p>
        </w:tc>
        <w:tc>
          <w:tcPr>
            <w:tcW w:type="dxa" w:w="1250"/>
            <w:vAlign w:val="center"/>
            <w:shd w:fill="F6F9FC"/>
          </w:tcPr>
          <w:p>
            <w:pPr>
              <w:spacing w:after="40" w:line="252" w:lineRule="auto"/>
            </w:pPr>
            <w:r>
              <w:rPr>
                <w:rFonts w:ascii="Calibri" w:hAnsi="Calibri"/>
                <w:b w:val="0"/>
                <w:i w:val="0"/>
                <w:color w:val="163A63"/>
                <w:sz w:val="17"/>
              </w:rPr>
            </w:r>
          </w:p>
        </w:tc>
        <w:tc>
          <w:tcPr>
            <w:tcW w:type="dxa" w:w="1250"/>
            <w:vAlign w:val="center"/>
            <w:shd w:fill="F6F9FC"/>
          </w:tcPr>
          <w:p>
            <w:pPr>
              <w:spacing w:after="40" w:line="252" w:lineRule="auto"/>
            </w:pPr>
            <w:r>
              <w:rPr>
                <w:rFonts w:ascii="Calibri" w:hAnsi="Calibri"/>
                <w:b w:val="0"/>
                <w:i w:val="0"/>
                <w:color w:val="163A63"/>
                <w:sz w:val="17"/>
              </w:rPr>
            </w:r>
          </w:p>
        </w:tc>
        <w:tc>
          <w:tcPr>
            <w:tcW w:type="dxa" w:w="1250"/>
            <w:vAlign w:val="center"/>
            <w:shd w:fill="F6F9FC"/>
          </w:tcPr>
          <w:p>
            <w:pPr>
              <w:spacing w:after="40" w:line="252" w:lineRule="auto"/>
            </w:pPr>
            <w:r>
              <w:rPr>
                <w:rFonts w:ascii="Calibri" w:hAnsi="Calibri"/>
                <w:b w:val="0"/>
                <w:i w:val="0"/>
                <w:color w:val="163A63"/>
                <w:sz w:val="17"/>
              </w:rPr>
            </w:r>
          </w:p>
        </w:tc>
        <w:tc>
          <w:tcPr>
            <w:tcW w:type="dxa" w:w="3410"/>
            <w:vAlign w:val="center"/>
            <w:shd w:fill="F6F9FC"/>
          </w:tcPr>
          <w:p>
            <w:pPr>
              <w:spacing w:after="40" w:line="252" w:lineRule="auto"/>
            </w:pPr>
            <w:r>
              <w:rPr>
                <w:rFonts w:ascii="Calibri" w:hAnsi="Calibri"/>
                <w:b w:val="0"/>
                <w:i w:val="0"/>
                <w:color w:val="163A63"/>
                <w:sz w:val="17"/>
              </w:rPr>
            </w:r>
          </w:p>
        </w:tc>
      </w:tr>
      <w:tr>
        <w:trPr>
          <w:cantSplit/>
        </w:trPr>
        <w:tc>
          <w:tcPr>
            <w:tcW w:type="dxa" w:w="2200"/>
            <w:vAlign w:val="center"/>
          </w:tcPr>
          <w:p>
            <w:pPr>
              <w:spacing w:after="40" w:line="252" w:lineRule="auto"/>
            </w:pPr>
            <w:r>
              <w:rPr>
                <w:rFonts w:ascii="Calibri" w:hAnsi="Calibri"/>
                <w:b w:val="0"/>
                <w:i w:val="0"/>
                <w:color w:val="163A63"/>
                <w:sz w:val="17"/>
              </w:rPr>
              <w:t>Scan milliseconds</w:t>
            </w:r>
          </w:p>
        </w:tc>
        <w:tc>
          <w:tcPr>
            <w:tcW w:type="dxa" w:w="1250"/>
            <w:vAlign w:val="center"/>
          </w:tcPr>
          <w:p>
            <w:pPr>
              <w:spacing w:after="40" w:line="252" w:lineRule="auto"/>
            </w:pPr>
            <w:r>
              <w:rPr>
                <w:rFonts w:ascii="Calibri" w:hAnsi="Calibri"/>
                <w:b w:val="0"/>
                <w:i w:val="0"/>
                <w:color w:val="163A63"/>
                <w:sz w:val="17"/>
              </w:rPr>
            </w:r>
          </w:p>
        </w:tc>
        <w:tc>
          <w:tcPr>
            <w:tcW w:type="dxa" w:w="1250"/>
            <w:vAlign w:val="center"/>
          </w:tcPr>
          <w:p>
            <w:pPr>
              <w:spacing w:after="40" w:line="252" w:lineRule="auto"/>
            </w:pPr>
            <w:r>
              <w:rPr>
                <w:rFonts w:ascii="Calibri" w:hAnsi="Calibri"/>
                <w:b w:val="0"/>
                <w:i w:val="0"/>
                <w:color w:val="163A63"/>
                <w:sz w:val="17"/>
              </w:rPr>
            </w:r>
          </w:p>
        </w:tc>
        <w:tc>
          <w:tcPr>
            <w:tcW w:type="dxa" w:w="1250"/>
            <w:vAlign w:val="center"/>
          </w:tcPr>
          <w:p>
            <w:pPr>
              <w:spacing w:after="40" w:line="252" w:lineRule="auto"/>
            </w:pPr>
            <w:r>
              <w:rPr>
                <w:rFonts w:ascii="Calibri" w:hAnsi="Calibri"/>
                <w:b w:val="0"/>
                <w:i w:val="0"/>
                <w:color w:val="163A63"/>
                <w:sz w:val="17"/>
              </w:rPr>
            </w:r>
          </w:p>
        </w:tc>
        <w:tc>
          <w:tcPr>
            <w:tcW w:type="dxa" w:w="3410"/>
            <w:vAlign w:val="center"/>
          </w:tcPr>
          <w:p>
            <w:pPr>
              <w:spacing w:after="40" w:line="252" w:lineRule="auto"/>
            </w:pPr>
            <w:r>
              <w:rPr>
                <w:rFonts w:ascii="Calibri" w:hAnsi="Calibri"/>
                <w:b w:val="0"/>
                <w:i w:val="0"/>
                <w:color w:val="163A63"/>
                <w:sz w:val="17"/>
              </w:rPr>
            </w:r>
          </w:p>
        </w:tc>
      </w:tr>
      <w:tr>
        <w:trPr>
          <w:cantSplit/>
        </w:trPr>
        <w:tc>
          <w:tcPr>
            <w:tcW w:type="dxa" w:w="2200"/>
            <w:vAlign w:val="center"/>
            <w:shd w:fill="F6F9FC"/>
          </w:tcPr>
          <w:p>
            <w:pPr>
              <w:spacing w:after="40" w:line="252" w:lineRule="auto"/>
            </w:pPr>
            <w:r>
              <w:rPr>
                <w:rFonts w:ascii="Calibri" w:hAnsi="Calibri"/>
                <w:b w:val="0"/>
                <w:i w:val="0"/>
                <w:color w:val="163A63"/>
                <w:sz w:val="17"/>
              </w:rPr>
              <w:t>Provider strings / batches</w:t>
            </w:r>
          </w:p>
        </w:tc>
        <w:tc>
          <w:tcPr>
            <w:tcW w:type="dxa" w:w="1250"/>
            <w:vAlign w:val="center"/>
            <w:shd w:fill="F6F9FC"/>
          </w:tcPr>
          <w:p>
            <w:pPr>
              <w:spacing w:after="40" w:line="252" w:lineRule="auto"/>
            </w:pPr>
            <w:r>
              <w:rPr>
                <w:rFonts w:ascii="Calibri" w:hAnsi="Calibri"/>
                <w:b w:val="0"/>
                <w:i w:val="0"/>
                <w:color w:val="163A63"/>
                <w:sz w:val="17"/>
              </w:rPr>
            </w:r>
          </w:p>
        </w:tc>
        <w:tc>
          <w:tcPr>
            <w:tcW w:type="dxa" w:w="1250"/>
            <w:vAlign w:val="center"/>
            <w:shd w:fill="F6F9FC"/>
          </w:tcPr>
          <w:p>
            <w:pPr>
              <w:spacing w:after="40" w:line="252" w:lineRule="auto"/>
            </w:pPr>
            <w:r>
              <w:rPr>
                <w:rFonts w:ascii="Calibri" w:hAnsi="Calibri"/>
                <w:b w:val="0"/>
                <w:i w:val="0"/>
                <w:color w:val="163A63"/>
                <w:sz w:val="17"/>
              </w:rPr>
            </w:r>
          </w:p>
        </w:tc>
        <w:tc>
          <w:tcPr>
            <w:tcW w:type="dxa" w:w="1250"/>
            <w:vAlign w:val="center"/>
            <w:shd w:fill="F6F9FC"/>
          </w:tcPr>
          <w:p>
            <w:pPr>
              <w:spacing w:after="40" w:line="252" w:lineRule="auto"/>
            </w:pPr>
            <w:r>
              <w:rPr>
                <w:rFonts w:ascii="Calibri" w:hAnsi="Calibri"/>
                <w:b w:val="0"/>
                <w:i w:val="0"/>
                <w:color w:val="163A63"/>
                <w:sz w:val="17"/>
              </w:rPr>
            </w:r>
          </w:p>
        </w:tc>
        <w:tc>
          <w:tcPr>
            <w:tcW w:type="dxa" w:w="3410"/>
            <w:vAlign w:val="center"/>
            <w:shd w:fill="F6F9FC"/>
          </w:tcPr>
          <w:p>
            <w:pPr>
              <w:spacing w:after="40" w:line="252" w:lineRule="auto"/>
            </w:pPr>
            <w:r>
              <w:rPr>
                <w:rFonts w:ascii="Calibri" w:hAnsi="Calibri"/>
                <w:b w:val="0"/>
                <w:i w:val="0"/>
                <w:color w:val="163A63"/>
                <w:sz w:val="17"/>
              </w:rPr>
            </w:r>
          </w:p>
        </w:tc>
      </w:tr>
      <w:tr>
        <w:trPr>
          <w:cantSplit/>
        </w:trPr>
        <w:tc>
          <w:tcPr>
            <w:tcW w:type="dxa" w:w="2200"/>
            <w:vAlign w:val="center"/>
          </w:tcPr>
          <w:p>
            <w:pPr>
              <w:spacing w:after="40" w:line="252" w:lineRule="auto"/>
            </w:pPr>
            <w:r>
              <w:rPr>
                <w:rFonts w:ascii="Calibri" w:hAnsi="Calibri"/>
                <w:b w:val="0"/>
                <w:i w:val="0"/>
                <w:color w:val="163A63"/>
                <w:sz w:val="17"/>
              </w:rPr>
              <w:t>Provider elapsed time</w:t>
            </w:r>
          </w:p>
        </w:tc>
        <w:tc>
          <w:tcPr>
            <w:tcW w:type="dxa" w:w="1250"/>
            <w:vAlign w:val="center"/>
          </w:tcPr>
          <w:p>
            <w:pPr>
              <w:spacing w:after="40" w:line="252" w:lineRule="auto"/>
            </w:pPr>
            <w:r>
              <w:rPr>
                <w:rFonts w:ascii="Calibri" w:hAnsi="Calibri"/>
                <w:b w:val="0"/>
                <w:i w:val="0"/>
                <w:color w:val="163A63"/>
                <w:sz w:val="17"/>
              </w:rPr>
            </w:r>
          </w:p>
        </w:tc>
        <w:tc>
          <w:tcPr>
            <w:tcW w:type="dxa" w:w="1250"/>
            <w:vAlign w:val="center"/>
          </w:tcPr>
          <w:p>
            <w:pPr>
              <w:spacing w:after="40" w:line="252" w:lineRule="auto"/>
            </w:pPr>
            <w:r>
              <w:rPr>
                <w:rFonts w:ascii="Calibri" w:hAnsi="Calibri"/>
                <w:b w:val="0"/>
                <w:i w:val="0"/>
                <w:color w:val="163A63"/>
                <w:sz w:val="17"/>
              </w:rPr>
            </w:r>
          </w:p>
        </w:tc>
        <w:tc>
          <w:tcPr>
            <w:tcW w:type="dxa" w:w="1250"/>
            <w:vAlign w:val="center"/>
          </w:tcPr>
          <w:p>
            <w:pPr>
              <w:spacing w:after="40" w:line="252" w:lineRule="auto"/>
            </w:pPr>
            <w:r>
              <w:rPr>
                <w:rFonts w:ascii="Calibri" w:hAnsi="Calibri"/>
                <w:b w:val="0"/>
                <w:i w:val="0"/>
                <w:color w:val="163A63"/>
                <w:sz w:val="17"/>
              </w:rPr>
            </w:r>
          </w:p>
        </w:tc>
        <w:tc>
          <w:tcPr>
            <w:tcW w:type="dxa" w:w="3410"/>
            <w:vAlign w:val="center"/>
          </w:tcPr>
          <w:p>
            <w:pPr>
              <w:spacing w:after="40" w:line="252" w:lineRule="auto"/>
            </w:pPr>
            <w:r>
              <w:rPr>
                <w:rFonts w:ascii="Calibri" w:hAnsi="Calibri"/>
                <w:b w:val="0"/>
                <w:i w:val="0"/>
                <w:color w:val="163A63"/>
                <w:sz w:val="17"/>
              </w:rPr>
            </w:r>
          </w:p>
        </w:tc>
      </w:tr>
      <w:tr>
        <w:trPr>
          <w:cantSplit/>
        </w:trPr>
        <w:tc>
          <w:tcPr>
            <w:tcW w:type="dxa" w:w="2200"/>
            <w:vAlign w:val="center"/>
            <w:shd w:fill="F6F9FC"/>
          </w:tcPr>
          <w:p>
            <w:pPr>
              <w:spacing w:after="40" w:line="252" w:lineRule="auto"/>
            </w:pPr>
            <w:r>
              <w:rPr>
                <w:rFonts w:ascii="Calibri" w:hAnsi="Calibri"/>
                <w:b w:val="0"/>
                <w:i w:val="0"/>
                <w:color w:val="163A63"/>
                <w:sz w:val="17"/>
              </w:rPr>
              <w:t>Kit generation time</w:t>
            </w:r>
          </w:p>
        </w:tc>
        <w:tc>
          <w:tcPr>
            <w:tcW w:type="dxa" w:w="1250"/>
            <w:vAlign w:val="center"/>
            <w:shd w:fill="F6F9FC"/>
          </w:tcPr>
          <w:p>
            <w:pPr>
              <w:spacing w:after="40" w:line="252" w:lineRule="auto"/>
            </w:pPr>
            <w:r>
              <w:rPr>
                <w:rFonts w:ascii="Calibri" w:hAnsi="Calibri"/>
                <w:b w:val="0"/>
                <w:i w:val="0"/>
                <w:color w:val="163A63"/>
                <w:sz w:val="17"/>
              </w:rPr>
            </w:r>
          </w:p>
        </w:tc>
        <w:tc>
          <w:tcPr>
            <w:tcW w:type="dxa" w:w="1250"/>
            <w:vAlign w:val="center"/>
            <w:shd w:fill="F6F9FC"/>
          </w:tcPr>
          <w:p>
            <w:pPr>
              <w:spacing w:after="40" w:line="252" w:lineRule="auto"/>
            </w:pPr>
            <w:r>
              <w:rPr>
                <w:rFonts w:ascii="Calibri" w:hAnsi="Calibri"/>
                <w:b w:val="0"/>
                <w:i w:val="0"/>
                <w:color w:val="163A63"/>
                <w:sz w:val="17"/>
              </w:rPr>
            </w:r>
          </w:p>
        </w:tc>
        <w:tc>
          <w:tcPr>
            <w:tcW w:type="dxa" w:w="1250"/>
            <w:vAlign w:val="center"/>
            <w:shd w:fill="F6F9FC"/>
          </w:tcPr>
          <w:p>
            <w:pPr>
              <w:spacing w:after="40" w:line="252" w:lineRule="auto"/>
            </w:pPr>
            <w:r>
              <w:rPr>
                <w:rFonts w:ascii="Calibri" w:hAnsi="Calibri"/>
                <w:b w:val="0"/>
                <w:i w:val="0"/>
                <w:color w:val="163A63"/>
                <w:sz w:val="17"/>
              </w:rPr>
            </w:r>
          </w:p>
        </w:tc>
        <w:tc>
          <w:tcPr>
            <w:tcW w:type="dxa" w:w="3410"/>
            <w:vAlign w:val="center"/>
            <w:shd w:fill="F6F9FC"/>
          </w:tcPr>
          <w:p>
            <w:pPr>
              <w:spacing w:after="40" w:line="252" w:lineRule="auto"/>
            </w:pPr>
            <w:r>
              <w:rPr>
                <w:rFonts w:ascii="Calibri" w:hAnsi="Calibri"/>
                <w:b w:val="0"/>
                <w:i w:val="0"/>
                <w:color w:val="163A63"/>
                <w:sz w:val="17"/>
              </w:rPr>
            </w:r>
          </w:p>
        </w:tc>
      </w:tr>
    </w:tbl>
    <w:p/>
    <w:p>
      <w:pPr>
        <w:pStyle w:val="Heading1"/>
      </w:pPr>
      <w:r>
        <w:t>14. Defect Recording</w:t>
      </w:r>
    </w:p>
    <w:p>
      <w:pPr>
        <w:pStyle w:val="ListBullet"/>
      </w:pPr>
      <w:r>
        <w:t>Record the exact Studio and target executable path, platform, configuration, and timestamp.</w:t>
      </w:r>
    </w:p>
    <w:p>
      <w:pPr>
        <w:pStyle w:val="ListBullet"/>
      </w:pPr>
      <w:r>
        <w:t>Record the selected project path, framework, locale, provider, and DeepL plan when applicable. Never record the API key.</w:t>
      </w:r>
    </w:p>
    <w:p>
      <w:pPr>
        <w:pStyle w:val="ListBullet"/>
      </w:pPr>
      <w:r>
        <w:t>Capture the complete status-panel message and any Windows/RAD Studio dialog text.</w:t>
      </w:r>
    </w:p>
    <w:p>
      <w:pPr>
        <w:pStyle w:val="ListBullet"/>
      </w:pPr>
      <w:r>
        <w:t>Attach the stable catalog key, source text, translated text, status, origin, and validation message for translation defects.</w:t>
      </w:r>
    </w:p>
    <w:p>
      <w:pPr>
        <w:pStyle w:val="ListBullet"/>
      </w:pPr>
      <w:r>
        <w:t>Attach Git status and the smallest relevant diff for integration defects.</w:t>
      </w:r>
    </w:p>
    <w:p>
      <w:pPr>
        <w:pStyle w:val="ListBullet"/>
      </w:pPr>
      <w:r>
        <w:t>For runtime state defects, record the control name, state before switching, selected languages, state after switching, and whether restart was involved.</w:t>
      </w:r>
    </w:p>
    <w:p>
      <w:pPr>
        <w:pStyle w:val="ListBullet"/>
      </w:pPr>
      <w:r>
        <w:t>State whether the defect reproduces on Win32, Win64, Debug, Release, VCL, and/or FMX.</w:t>
      </w:r>
    </w:p>
    <w:tbl>
      <w:tblPr>
        <w:tblStyle w:val="TableGrid"/>
        <w:jc w:val="center"/>
        <w:tblLook w:firstColumn="1" w:firstRow="1" w:lastColumn="0" w:lastRow="0" w:noHBand="0" w:noVBand="1" w:val="04A0"/>
        <w:tblW w:w="9360" w:type="dxa"/>
        <w:tblInd w:w="120" w:type="dxa"/>
        <w:tblLayout w:type="fixed"/>
        <w:tblCellMar>
          <w:top w:w="80" w:type="dxa"/>
          <w:bottom w:w="80" w:type="dxa"/>
          <w:start w:w="120" w:type="dxa"/>
          <w:end w:w="120" w:type="dxa"/>
        </w:tblCellMar>
      </w:tblPr>
      <w:tblGrid>
        <w:gridCol w:w="2400"/>
        <w:gridCol w:w="6960"/>
      </w:tblGrid>
      <w:tr>
        <w:trPr>
          <w:tblHeader w:val="true"/>
        </w:trPr>
        <w:tc>
          <w:tcPr>
            <w:tcW w:type="dxa" w:w="2400"/>
            <w:shd w:fill="234C80"/>
            <w:vAlign w:val="center"/>
          </w:tcPr>
          <w:p>
            <w:r>
              <w:rPr>
                <w:rFonts w:ascii="Calibri" w:hAnsi="Calibri"/>
                <w:b/>
                <w:i w:val="0"/>
                <w:color w:val="FFFFFF"/>
                <w:sz w:val="18"/>
              </w:rPr>
              <w:t>Field</w:t>
            </w:r>
          </w:p>
        </w:tc>
        <w:tc>
          <w:tcPr>
            <w:tcW w:type="dxa" w:w="6960"/>
            <w:shd w:fill="234C80"/>
            <w:vAlign w:val="center"/>
          </w:tcPr>
          <w:p>
            <w:r>
              <w:rPr>
                <w:rFonts w:ascii="Calibri" w:hAnsi="Calibri"/>
                <w:b/>
                <w:i w:val="0"/>
                <w:color w:val="FFFFFF"/>
                <w:sz w:val="18"/>
              </w:rPr>
              <w:t>Record</w:t>
            </w:r>
          </w:p>
        </w:tc>
      </w:tr>
      <w:tr>
        <w:trPr>
          <w:cantSplit/>
        </w:trPr>
        <w:tc>
          <w:tcPr>
            <w:tcW w:type="dxa" w:w="2400"/>
            <w:vAlign w:val="center"/>
          </w:tcPr>
          <w:p>
            <w:pPr>
              <w:spacing w:after="40" w:line="252" w:lineRule="auto"/>
            </w:pPr>
            <w:r>
              <w:rPr>
                <w:rFonts w:ascii="Calibri" w:hAnsi="Calibri"/>
                <w:b w:val="0"/>
                <w:i w:val="0"/>
                <w:color w:val="163A63"/>
                <w:sz w:val="18"/>
              </w:rPr>
              <w:t>Defect ID / title</w:t>
            </w:r>
          </w:p>
        </w:tc>
        <w:tc>
          <w:tcPr>
            <w:tcW w:type="dxa" w:w="6960"/>
            <w:vAlign w:val="center"/>
          </w:tcPr>
          <w:p>
            <w:pPr>
              <w:spacing w:after="40" w:line="252" w:lineRule="auto"/>
            </w:pPr>
            <w:r>
              <w:rPr>
                <w:rFonts w:ascii="Calibri" w:hAnsi="Calibri"/>
                <w:b w:val="0"/>
                <w:i w:val="0"/>
                <w:color w:val="163A63"/>
                <w:sz w:val="18"/>
              </w:rPr>
            </w:r>
          </w:p>
        </w:tc>
      </w:tr>
      <w:tr>
        <w:trPr>
          <w:cantSplit/>
        </w:trPr>
        <w:tc>
          <w:tcPr>
            <w:tcW w:type="dxa" w:w="2400"/>
            <w:vAlign w:val="center"/>
            <w:shd w:fill="F6F9FC"/>
          </w:tcPr>
          <w:p>
            <w:pPr>
              <w:spacing w:after="40" w:line="252" w:lineRule="auto"/>
            </w:pPr>
            <w:r>
              <w:rPr>
                <w:rFonts w:ascii="Calibri" w:hAnsi="Calibri"/>
                <w:b w:val="0"/>
                <w:i w:val="0"/>
                <w:color w:val="163A63"/>
                <w:sz w:val="18"/>
              </w:rPr>
              <w:t>Date / tester</w:t>
            </w:r>
          </w:p>
        </w:tc>
        <w:tc>
          <w:tcPr>
            <w:tcW w:type="dxa" w:w="6960"/>
            <w:vAlign w:val="center"/>
            <w:shd w:fill="F6F9FC"/>
          </w:tcPr>
          <w:p>
            <w:pPr>
              <w:spacing w:after="40" w:line="252" w:lineRule="auto"/>
            </w:pPr>
            <w:r>
              <w:rPr>
                <w:rFonts w:ascii="Calibri" w:hAnsi="Calibri"/>
                <w:b w:val="0"/>
                <w:i w:val="0"/>
                <w:color w:val="163A63"/>
                <w:sz w:val="18"/>
              </w:rPr>
            </w:r>
          </w:p>
        </w:tc>
      </w:tr>
      <w:tr>
        <w:trPr>
          <w:cantSplit/>
        </w:trPr>
        <w:tc>
          <w:tcPr>
            <w:tcW w:type="dxa" w:w="2400"/>
            <w:vAlign w:val="center"/>
          </w:tcPr>
          <w:p>
            <w:pPr>
              <w:spacing w:after="40" w:line="252" w:lineRule="auto"/>
            </w:pPr>
            <w:r>
              <w:rPr>
                <w:rFonts w:ascii="Calibri" w:hAnsi="Calibri"/>
                <w:b w:val="0"/>
                <w:i w:val="0"/>
                <w:color w:val="163A63"/>
                <w:sz w:val="18"/>
              </w:rPr>
              <w:t>Studio executable</w:t>
            </w:r>
          </w:p>
        </w:tc>
        <w:tc>
          <w:tcPr>
            <w:tcW w:type="dxa" w:w="6960"/>
            <w:vAlign w:val="center"/>
          </w:tcPr>
          <w:p>
            <w:pPr>
              <w:spacing w:after="40" w:line="252" w:lineRule="auto"/>
            </w:pPr>
            <w:r>
              <w:rPr>
                <w:rFonts w:ascii="Calibri" w:hAnsi="Calibri"/>
                <w:b w:val="0"/>
                <w:i w:val="0"/>
                <w:color w:val="163A63"/>
                <w:sz w:val="18"/>
              </w:rPr>
            </w:r>
          </w:p>
        </w:tc>
      </w:tr>
      <w:tr>
        <w:trPr>
          <w:cantSplit/>
        </w:trPr>
        <w:tc>
          <w:tcPr>
            <w:tcW w:type="dxa" w:w="2400"/>
            <w:vAlign w:val="center"/>
            <w:shd w:fill="F6F9FC"/>
          </w:tcPr>
          <w:p>
            <w:pPr>
              <w:spacing w:after="40" w:line="252" w:lineRule="auto"/>
            </w:pPr>
            <w:r>
              <w:rPr>
                <w:rFonts w:ascii="Calibri" w:hAnsi="Calibri"/>
                <w:b w:val="0"/>
                <w:i w:val="0"/>
                <w:color w:val="163A63"/>
                <w:sz w:val="18"/>
              </w:rPr>
              <w:t>Target executable</w:t>
            </w:r>
          </w:p>
        </w:tc>
        <w:tc>
          <w:tcPr>
            <w:tcW w:type="dxa" w:w="6960"/>
            <w:vAlign w:val="center"/>
            <w:shd w:fill="F6F9FC"/>
          </w:tcPr>
          <w:p>
            <w:pPr>
              <w:spacing w:after="40" w:line="252" w:lineRule="auto"/>
            </w:pPr>
            <w:r>
              <w:rPr>
                <w:rFonts w:ascii="Calibri" w:hAnsi="Calibri"/>
                <w:b w:val="0"/>
                <w:i w:val="0"/>
                <w:color w:val="163A63"/>
                <w:sz w:val="18"/>
              </w:rPr>
            </w:r>
          </w:p>
        </w:tc>
      </w:tr>
      <w:tr>
        <w:trPr>
          <w:cantSplit/>
        </w:trPr>
        <w:tc>
          <w:tcPr>
            <w:tcW w:type="dxa" w:w="2400"/>
            <w:vAlign w:val="center"/>
          </w:tcPr>
          <w:p>
            <w:pPr>
              <w:spacing w:after="40" w:line="252" w:lineRule="auto"/>
            </w:pPr>
            <w:r>
              <w:rPr>
                <w:rFonts w:ascii="Calibri" w:hAnsi="Calibri"/>
                <w:b w:val="0"/>
                <w:i w:val="0"/>
                <w:color w:val="163A63"/>
                <w:sz w:val="18"/>
              </w:rPr>
              <w:t>Project / framework</w:t>
            </w:r>
          </w:p>
        </w:tc>
        <w:tc>
          <w:tcPr>
            <w:tcW w:type="dxa" w:w="6960"/>
            <w:vAlign w:val="center"/>
          </w:tcPr>
          <w:p>
            <w:pPr>
              <w:spacing w:after="40" w:line="252" w:lineRule="auto"/>
            </w:pPr>
            <w:r>
              <w:rPr>
                <w:rFonts w:ascii="Calibri" w:hAnsi="Calibri"/>
                <w:b w:val="0"/>
                <w:i w:val="0"/>
                <w:color w:val="163A63"/>
                <w:sz w:val="18"/>
              </w:rPr>
            </w:r>
          </w:p>
        </w:tc>
      </w:tr>
      <w:tr>
        <w:trPr>
          <w:cantSplit/>
        </w:trPr>
        <w:tc>
          <w:tcPr>
            <w:tcW w:type="dxa" w:w="2400"/>
            <w:vAlign w:val="center"/>
            <w:shd w:fill="F6F9FC"/>
          </w:tcPr>
          <w:p>
            <w:pPr>
              <w:spacing w:after="40" w:line="252" w:lineRule="auto"/>
            </w:pPr>
            <w:r>
              <w:rPr>
                <w:rFonts w:ascii="Calibri" w:hAnsi="Calibri"/>
                <w:b w:val="0"/>
                <w:i w:val="0"/>
                <w:color w:val="163A63"/>
                <w:sz w:val="18"/>
              </w:rPr>
              <w:t>Locale / provider</w:t>
            </w:r>
          </w:p>
        </w:tc>
        <w:tc>
          <w:tcPr>
            <w:tcW w:type="dxa" w:w="6960"/>
            <w:vAlign w:val="center"/>
            <w:shd w:fill="F6F9FC"/>
          </w:tcPr>
          <w:p>
            <w:pPr>
              <w:spacing w:after="40" w:line="252" w:lineRule="auto"/>
            </w:pPr>
            <w:r>
              <w:rPr>
                <w:rFonts w:ascii="Calibri" w:hAnsi="Calibri"/>
                <w:b w:val="0"/>
                <w:i w:val="0"/>
                <w:color w:val="163A63"/>
                <w:sz w:val="18"/>
              </w:rPr>
            </w:r>
          </w:p>
        </w:tc>
      </w:tr>
      <w:tr>
        <w:trPr>
          <w:cantSplit/>
        </w:trPr>
        <w:tc>
          <w:tcPr>
            <w:tcW w:type="dxa" w:w="2400"/>
            <w:vAlign w:val="center"/>
          </w:tcPr>
          <w:p>
            <w:pPr>
              <w:spacing w:after="40" w:line="252" w:lineRule="auto"/>
            </w:pPr>
            <w:r>
              <w:rPr>
                <w:rFonts w:ascii="Calibri" w:hAnsi="Calibri"/>
                <w:b w:val="0"/>
                <w:i w:val="0"/>
                <w:color w:val="163A63"/>
                <w:sz w:val="18"/>
              </w:rPr>
              <w:t>Steps to reproduce</w:t>
            </w:r>
          </w:p>
        </w:tc>
        <w:tc>
          <w:tcPr>
            <w:tcW w:type="dxa" w:w="6960"/>
            <w:vAlign w:val="center"/>
          </w:tcPr>
          <w:p>
            <w:pPr>
              <w:spacing w:after="40" w:line="252" w:lineRule="auto"/>
            </w:pPr>
            <w:r>
              <w:rPr>
                <w:rFonts w:ascii="Calibri" w:hAnsi="Calibri"/>
                <w:b w:val="0"/>
                <w:i w:val="0"/>
                <w:color w:val="163A63"/>
                <w:sz w:val="18"/>
              </w:rPr>
            </w:r>
          </w:p>
        </w:tc>
      </w:tr>
      <w:tr>
        <w:trPr>
          <w:cantSplit/>
        </w:trPr>
        <w:tc>
          <w:tcPr>
            <w:tcW w:type="dxa" w:w="2400"/>
            <w:vAlign w:val="center"/>
            <w:shd w:fill="F6F9FC"/>
          </w:tcPr>
          <w:p>
            <w:pPr>
              <w:spacing w:after="40" w:line="252" w:lineRule="auto"/>
            </w:pPr>
            <w:r>
              <w:rPr>
                <w:rFonts w:ascii="Calibri" w:hAnsi="Calibri"/>
                <w:b w:val="0"/>
                <w:i w:val="0"/>
                <w:color w:val="163A63"/>
                <w:sz w:val="18"/>
              </w:rPr>
              <w:t>Expected result</w:t>
            </w:r>
          </w:p>
        </w:tc>
        <w:tc>
          <w:tcPr>
            <w:tcW w:type="dxa" w:w="6960"/>
            <w:vAlign w:val="center"/>
            <w:shd w:fill="F6F9FC"/>
          </w:tcPr>
          <w:p>
            <w:pPr>
              <w:spacing w:after="40" w:line="252" w:lineRule="auto"/>
            </w:pPr>
            <w:r>
              <w:rPr>
                <w:rFonts w:ascii="Calibri" w:hAnsi="Calibri"/>
                <w:b w:val="0"/>
                <w:i w:val="0"/>
                <w:color w:val="163A63"/>
                <w:sz w:val="18"/>
              </w:rPr>
            </w:r>
          </w:p>
        </w:tc>
      </w:tr>
      <w:tr>
        <w:trPr>
          <w:cantSplit/>
        </w:trPr>
        <w:tc>
          <w:tcPr>
            <w:tcW w:type="dxa" w:w="2400"/>
            <w:vAlign w:val="center"/>
          </w:tcPr>
          <w:p>
            <w:pPr>
              <w:spacing w:after="40" w:line="252" w:lineRule="auto"/>
            </w:pPr>
            <w:r>
              <w:rPr>
                <w:rFonts w:ascii="Calibri" w:hAnsi="Calibri"/>
                <w:b w:val="0"/>
                <w:i w:val="0"/>
                <w:color w:val="163A63"/>
                <w:sz w:val="18"/>
              </w:rPr>
              <w:t>Actual result</w:t>
            </w:r>
          </w:p>
        </w:tc>
        <w:tc>
          <w:tcPr>
            <w:tcW w:type="dxa" w:w="6960"/>
            <w:vAlign w:val="center"/>
          </w:tcPr>
          <w:p>
            <w:pPr>
              <w:spacing w:after="40" w:line="252" w:lineRule="auto"/>
            </w:pPr>
            <w:r>
              <w:rPr>
                <w:rFonts w:ascii="Calibri" w:hAnsi="Calibri"/>
                <w:b w:val="0"/>
                <w:i w:val="0"/>
                <w:color w:val="163A63"/>
                <w:sz w:val="18"/>
              </w:rPr>
            </w:r>
          </w:p>
        </w:tc>
      </w:tr>
      <w:tr>
        <w:trPr>
          <w:cantSplit/>
        </w:trPr>
        <w:tc>
          <w:tcPr>
            <w:tcW w:type="dxa" w:w="2400"/>
            <w:vAlign w:val="center"/>
            <w:shd w:fill="F6F9FC"/>
          </w:tcPr>
          <w:p>
            <w:pPr>
              <w:spacing w:after="40" w:line="252" w:lineRule="auto"/>
            </w:pPr>
            <w:r>
              <w:rPr>
                <w:rFonts w:ascii="Calibri" w:hAnsi="Calibri"/>
                <w:b w:val="0"/>
                <w:i w:val="0"/>
                <w:color w:val="163A63"/>
                <w:sz w:val="18"/>
              </w:rPr>
              <w:t>Attachments / logs</w:t>
            </w:r>
          </w:p>
        </w:tc>
        <w:tc>
          <w:tcPr>
            <w:tcW w:type="dxa" w:w="6960"/>
            <w:vAlign w:val="center"/>
            <w:shd w:fill="F6F9FC"/>
          </w:tcPr>
          <w:p>
            <w:pPr>
              <w:spacing w:after="40" w:line="252" w:lineRule="auto"/>
            </w:pPr>
            <w:r>
              <w:rPr>
                <w:rFonts w:ascii="Calibri" w:hAnsi="Calibri"/>
                <w:b w:val="0"/>
                <w:i w:val="0"/>
                <w:color w:val="163A63"/>
                <w:sz w:val="18"/>
              </w:rPr>
            </w:r>
          </w:p>
        </w:tc>
      </w:tr>
    </w:tbl>
    <w:p/>
    <w:p>
      <w:pPr>
        <w:pStyle w:val="Heading1"/>
      </w:pPr>
      <w:r>
        <w:t>15. Final Acceptance Checklist</w:t>
      </w:r>
    </w:p>
    <w:tbl>
      <w:tblPr>
        <w:tblStyle w:val="TableGrid"/>
        <w:jc w:val="center"/>
        <w:tblLook w:firstColumn="1" w:firstRow="1" w:lastColumn="0" w:lastRow="0" w:noHBand="0" w:noVBand="1" w:val="04A0"/>
        <w:tblW w:w="9360" w:type="dxa"/>
        <w:tblInd w:w="120" w:type="dxa"/>
        <w:tblLayout w:type="fixed"/>
        <w:tblCellMar>
          <w:top w:w="80" w:type="dxa"/>
          <w:bottom w:w="80" w:type="dxa"/>
          <w:start w:w="120" w:type="dxa"/>
          <w:end w:w="120" w:type="dxa"/>
        </w:tblCellMar>
      </w:tblPr>
      <w:tblGrid>
        <w:gridCol w:w="1550"/>
        <w:gridCol w:w="6410"/>
        <w:gridCol w:w="1400"/>
      </w:tblGrid>
      <w:tr>
        <w:trPr>
          <w:tblHeader w:val="true"/>
        </w:trPr>
        <w:tc>
          <w:tcPr>
            <w:tcW w:type="dxa" w:w="1550"/>
            <w:shd w:fill="234C80"/>
            <w:vAlign w:val="center"/>
          </w:tcPr>
          <w:p>
            <w:r>
              <w:rPr>
                <w:rFonts w:ascii="Calibri" w:hAnsi="Calibri"/>
                <w:b/>
                <w:i w:val="0"/>
                <w:color w:val="FFFFFF"/>
                <w:sz w:val="17"/>
              </w:rPr>
              <w:t>Gate</w:t>
            </w:r>
          </w:p>
        </w:tc>
        <w:tc>
          <w:tcPr>
            <w:tcW w:type="dxa" w:w="6410"/>
            <w:shd w:fill="234C80"/>
            <w:vAlign w:val="center"/>
          </w:tcPr>
          <w:p>
            <w:r>
              <w:rPr>
                <w:rFonts w:ascii="Calibri" w:hAnsi="Calibri"/>
                <w:b/>
                <w:i w:val="0"/>
                <w:color w:val="FFFFFF"/>
                <w:sz w:val="17"/>
              </w:rPr>
              <w:t>Acceptance requirement</w:t>
            </w:r>
          </w:p>
        </w:tc>
        <w:tc>
          <w:tcPr>
            <w:tcW w:type="dxa" w:w="1400"/>
            <w:shd w:fill="234C80"/>
            <w:vAlign w:val="center"/>
          </w:tcPr>
          <w:p>
            <w:r>
              <w:rPr>
                <w:rFonts w:ascii="Calibri" w:hAnsi="Calibri"/>
                <w:b/>
                <w:i w:val="0"/>
                <w:color w:val="FFFFFF"/>
                <w:sz w:val="17"/>
              </w:rPr>
              <w:t>Result</w:t>
            </w:r>
          </w:p>
        </w:tc>
      </w:tr>
      <w:tr>
        <w:trPr>
          <w:cantSplit/>
        </w:trPr>
        <w:tc>
          <w:tcPr>
            <w:tcW w:type="dxa" w:w="1550"/>
            <w:vAlign w:val="center"/>
          </w:tcPr>
          <w:p>
            <w:pPr>
              <w:spacing w:after="40" w:line="252" w:lineRule="auto"/>
            </w:pPr>
            <w:r>
              <w:rPr>
                <w:rFonts w:ascii="Calibri" w:hAnsi="Calibri"/>
                <w:b w:val="0"/>
                <w:i w:val="0"/>
                <w:color w:val="163A63"/>
                <w:sz w:val="17"/>
              </w:rPr>
              <w:t>Backup</w:t>
            </w:r>
          </w:p>
        </w:tc>
        <w:tc>
          <w:tcPr>
            <w:tcW w:type="dxa" w:w="6410"/>
            <w:vAlign w:val="center"/>
          </w:tcPr>
          <w:p>
            <w:pPr>
              <w:spacing w:after="40" w:line="252" w:lineRule="auto"/>
            </w:pPr>
            <w:r>
              <w:rPr>
                <w:rFonts w:ascii="Calibri" w:hAnsi="Calibri"/>
                <w:b w:val="0"/>
                <w:i w:val="0"/>
                <w:color w:val="163A63"/>
                <w:sz w:val="17"/>
              </w:rPr>
              <w:t>Pre-change product backup exists and was verified.</w:t>
            </w:r>
          </w:p>
        </w:tc>
        <w:tc>
          <w:tcPr>
            <w:tcW w:type="dxa" w:w="1400"/>
            <w:vAlign w:val="center"/>
          </w:tcPr>
          <w:p>
            <w:pPr>
              <w:spacing w:after="40" w:line="252" w:lineRule="auto"/>
            </w:pPr>
            <w:r>
              <w:rPr>
                <w:rFonts w:ascii="Calibri" w:hAnsi="Calibri"/>
                <w:b w:val="0"/>
                <w:i w:val="0"/>
                <w:color w:val="163A63"/>
                <w:sz w:val="17"/>
              </w:rPr>
              <w:t>PASS / FAIL</w:t>
            </w:r>
          </w:p>
        </w:tc>
      </w:tr>
      <w:tr>
        <w:trPr>
          <w:cantSplit/>
        </w:trPr>
        <w:tc>
          <w:tcPr>
            <w:tcW w:type="dxa" w:w="1550"/>
            <w:vAlign w:val="center"/>
            <w:shd w:fill="F6F9FC"/>
          </w:tcPr>
          <w:p>
            <w:pPr>
              <w:spacing w:after="40" w:line="252" w:lineRule="auto"/>
            </w:pPr>
            <w:r>
              <w:rPr>
                <w:rFonts w:ascii="Calibri" w:hAnsi="Calibri"/>
                <w:b w:val="0"/>
                <w:i w:val="0"/>
                <w:color w:val="163A63"/>
                <w:sz w:val="17"/>
              </w:rPr>
              <w:t>Clean target</w:t>
            </w:r>
          </w:p>
        </w:tc>
        <w:tc>
          <w:tcPr>
            <w:tcW w:type="dxa" w:w="6410"/>
            <w:vAlign w:val="center"/>
            <w:shd w:fill="F6F9FC"/>
          </w:tcPr>
          <w:p>
            <w:pPr>
              <w:spacing w:after="40" w:line="252" w:lineRule="auto"/>
            </w:pPr>
            <w:r>
              <w:rPr>
                <w:rFonts w:ascii="Calibri" w:hAnsi="Calibri"/>
                <w:b w:val="0"/>
                <w:i w:val="0"/>
                <w:color w:val="163A63"/>
                <w:sz w:val="17"/>
              </w:rPr>
              <w:t>Disposable GA4 copy began clean; pristine reference remained untouched.</w:t>
            </w:r>
          </w:p>
        </w:tc>
        <w:tc>
          <w:tcPr>
            <w:tcW w:type="dxa" w:w="1400"/>
            <w:vAlign w:val="center"/>
            <w:shd w:fill="F6F9FC"/>
          </w:tcPr>
          <w:p>
            <w:pPr>
              <w:spacing w:after="40" w:line="252" w:lineRule="auto"/>
            </w:pPr>
            <w:r>
              <w:rPr>
                <w:rFonts w:ascii="Calibri" w:hAnsi="Calibri"/>
                <w:b w:val="0"/>
                <w:i w:val="0"/>
                <w:color w:val="163A63"/>
                <w:sz w:val="17"/>
              </w:rPr>
              <w:t>PASS / FAIL</w:t>
            </w:r>
          </w:p>
        </w:tc>
      </w:tr>
      <w:tr>
        <w:trPr>
          <w:cantSplit/>
        </w:trPr>
        <w:tc>
          <w:tcPr>
            <w:tcW w:type="dxa" w:w="1550"/>
            <w:vAlign w:val="center"/>
          </w:tcPr>
          <w:p>
            <w:pPr>
              <w:spacing w:after="40" w:line="252" w:lineRule="auto"/>
            </w:pPr>
            <w:r>
              <w:rPr>
                <w:rFonts w:ascii="Calibri" w:hAnsi="Calibri"/>
                <w:b w:val="0"/>
                <w:i w:val="0"/>
                <w:color w:val="163A63"/>
                <w:sz w:val="17"/>
              </w:rPr>
              <w:t>Release matrix</w:t>
            </w:r>
          </w:p>
        </w:tc>
        <w:tc>
          <w:tcPr>
            <w:tcW w:type="dxa" w:w="6410"/>
            <w:vAlign w:val="center"/>
          </w:tcPr>
          <w:p>
            <w:pPr>
              <w:spacing w:after="40" w:line="252" w:lineRule="auto"/>
            </w:pPr>
            <w:r>
              <w:rPr>
                <w:rFonts w:ascii="Calibri" w:hAnsi="Calibri"/>
                <w:b w:val="0"/>
                <w:i w:val="0"/>
                <w:color w:val="163A63"/>
                <w:sz w:val="17"/>
              </w:rPr>
              <w:t>RunPhase10ReleaseValidation.ps1 passed uninterrupted.</w:t>
            </w:r>
          </w:p>
        </w:tc>
        <w:tc>
          <w:tcPr>
            <w:tcW w:type="dxa" w:w="1400"/>
            <w:vAlign w:val="center"/>
          </w:tcPr>
          <w:p>
            <w:pPr>
              <w:spacing w:after="40" w:line="252" w:lineRule="auto"/>
            </w:pPr>
            <w:r>
              <w:rPr>
                <w:rFonts w:ascii="Calibri" w:hAnsi="Calibri"/>
                <w:b w:val="0"/>
                <w:i w:val="0"/>
                <w:color w:val="163A63"/>
                <w:sz w:val="17"/>
              </w:rPr>
              <w:t>PASS / FAIL</w:t>
            </w:r>
          </w:p>
        </w:tc>
      </w:tr>
      <w:tr>
        <w:trPr>
          <w:cantSplit/>
        </w:trPr>
        <w:tc>
          <w:tcPr>
            <w:tcW w:type="dxa" w:w="1550"/>
            <w:vAlign w:val="center"/>
            <w:shd w:fill="F6F9FC"/>
          </w:tcPr>
          <w:p>
            <w:pPr>
              <w:spacing w:after="40" w:line="252" w:lineRule="auto"/>
            </w:pPr>
            <w:r>
              <w:rPr>
                <w:rFonts w:ascii="Calibri" w:hAnsi="Calibri"/>
                <w:b w:val="0"/>
                <w:i w:val="0"/>
                <w:color w:val="163A63"/>
                <w:sz w:val="17"/>
              </w:rPr>
              <w:t>UI</w:t>
            </w:r>
          </w:p>
        </w:tc>
        <w:tc>
          <w:tcPr>
            <w:tcW w:type="dxa" w:w="6410"/>
            <w:vAlign w:val="center"/>
            <w:shd w:fill="F6F9FC"/>
          </w:tcPr>
          <w:p>
            <w:pPr>
              <w:spacing w:after="40" w:line="252" w:lineRule="auto"/>
            </w:pPr>
            <w:r>
              <w:rPr>
                <w:rFonts w:ascii="Calibri" w:hAnsi="Calibri"/>
                <w:b w:val="0"/>
                <w:i w:val="0"/>
                <w:color w:val="163A63"/>
                <w:sz w:val="17"/>
              </w:rPr>
              <w:t>All seven pages fit, navigate, and display professionally at tested resolutions.</w:t>
            </w:r>
          </w:p>
        </w:tc>
        <w:tc>
          <w:tcPr>
            <w:tcW w:type="dxa" w:w="1400"/>
            <w:vAlign w:val="center"/>
            <w:shd w:fill="F6F9FC"/>
          </w:tcPr>
          <w:p>
            <w:pPr>
              <w:spacing w:after="40" w:line="252" w:lineRule="auto"/>
            </w:pPr>
            <w:r>
              <w:rPr>
                <w:rFonts w:ascii="Calibri" w:hAnsi="Calibri"/>
                <w:b w:val="0"/>
                <w:i w:val="0"/>
                <w:color w:val="163A63"/>
                <w:sz w:val="17"/>
              </w:rPr>
              <w:t>PASS / FAIL</w:t>
            </w:r>
          </w:p>
        </w:tc>
      </w:tr>
      <w:tr>
        <w:trPr>
          <w:cantSplit/>
        </w:trPr>
        <w:tc>
          <w:tcPr>
            <w:tcW w:type="dxa" w:w="1550"/>
            <w:vAlign w:val="center"/>
          </w:tcPr>
          <w:p>
            <w:pPr>
              <w:spacing w:after="40" w:line="252" w:lineRule="auto"/>
            </w:pPr>
            <w:r>
              <w:rPr>
                <w:rFonts w:ascii="Calibri" w:hAnsi="Calibri"/>
                <w:b w:val="0"/>
                <w:i w:val="0"/>
                <w:color w:val="163A63"/>
                <w:sz w:val="17"/>
              </w:rPr>
              <w:t>Scan</w:t>
            </w:r>
          </w:p>
        </w:tc>
        <w:tc>
          <w:tcPr>
            <w:tcW w:type="dxa" w:w="6410"/>
            <w:vAlign w:val="center"/>
          </w:tcPr>
          <w:p>
            <w:pPr>
              <w:spacing w:after="40" w:line="252" w:lineRule="auto"/>
            </w:pPr>
            <w:r>
              <w:rPr>
                <w:rFonts w:ascii="Calibri" w:hAnsi="Calibri"/>
                <w:b w:val="0"/>
                <w:i w:val="0"/>
                <w:color w:val="163A63"/>
                <w:sz w:val="17"/>
              </w:rPr>
              <w:t>Project detection and scan are correct, fast, and read-only.</w:t>
            </w:r>
          </w:p>
        </w:tc>
        <w:tc>
          <w:tcPr>
            <w:tcW w:type="dxa" w:w="1400"/>
            <w:vAlign w:val="center"/>
          </w:tcPr>
          <w:p>
            <w:pPr>
              <w:spacing w:after="40" w:line="252" w:lineRule="auto"/>
            </w:pPr>
            <w:r>
              <w:rPr>
                <w:rFonts w:ascii="Calibri" w:hAnsi="Calibri"/>
                <w:b w:val="0"/>
                <w:i w:val="0"/>
                <w:color w:val="163A63"/>
                <w:sz w:val="17"/>
              </w:rPr>
              <w:t>PASS / FAIL</w:t>
            </w:r>
          </w:p>
        </w:tc>
      </w:tr>
      <w:tr>
        <w:trPr>
          <w:cantSplit/>
        </w:trPr>
        <w:tc>
          <w:tcPr>
            <w:tcW w:type="dxa" w:w="1550"/>
            <w:vAlign w:val="center"/>
            <w:shd w:fill="F6F9FC"/>
          </w:tcPr>
          <w:p>
            <w:pPr>
              <w:spacing w:after="40" w:line="252" w:lineRule="auto"/>
            </w:pPr>
            <w:r>
              <w:rPr>
                <w:rFonts w:ascii="Calibri" w:hAnsi="Calibri"/>
                <w:b w:val="0"/>
                <w:i w:val="0"/>
                <w:color w:val="163A63"/>
                <w:sz w:val="17"/>
              </w:rPr>
              <w:t>Provider</w:t>
            </w:r>
          </w:p>
        </w:tc>
        <w:tc>
          <w:tcPr>
            <w:tcW w:type="dxa" w:w="6410"/>
            <w:vAlign w:val="center"/>
            <w:shd w:fill="F6F9FC"/>
          </w:tcPr>
          <w:p>
            <w:pPr>
              <w:spacing w:after="40" w:line="252" w:lineRule="auto"/>
            </w:pPr>
            <w:r>
              <w:rPr>
                <w:rFonts w:ascii="Calibri" w:hAnsi="Calibri"/>
                <w:b w:val="0"/>
                <w:i w:val="0"/>
                <w:color w:val="163A63"/>
                <w:sz w:val="17"/>
              </w:rPr>
              <w:t>Connection and automatic translation succeed; key remains secret.</w:t>
            </w:r>
          </w:p>
        </w:tc>
        <w:tc>
          <w:tcPr>
            <w:tcW w:type="dxa" w:w="1400"/>
            <w:vAlign w:val="center"/>
            <w:shd w:fill="F6F9FC"/>
          </w:tcPr>
          <w:p>
            <w:pPr>
              <w:spacing w:after="40" w:line="252" w:lineRule="auto"/>
            </w:pPr>
            <w:r>
              <w:rPr>
                <w:rFonts w:ascii="Calibri" w:hAnsi="Calibri"/>
                <w:b w:val="0"/>
                <w:i w:val="0"/>
                <w:color w:val="163A63"/>
                <w:sz w:val="17"/>
              </w:rPr>
              <w:t>PASS / FAIL</w:t>
            </w:r>
          </w:p>
        </w:tc>
      </w:tr>
      <w:tr>
        <w:trPr>
          <w:cantSplit/>
        </w:trPr>
        <w:tc>
          <w:tcPr>
            <w:tcW w:type="dxa" w:w="1550"/>
            <w:vAlign w:val="center"/>
          </w:tcPr>
          <w:p>
            <w:pPr>
              <w:spacing w:after="40" w:line="252" w:lineRule="auto"/>
            </w:pPr>
            <w:r>
              <w:rPr>
                <w:rFonts w:ascii="Calibri" w:hAnsi="Calibri"/>
                <w:b w:val="0"/>
                <w:i w:val="0"/>
                <w:color w:val="163A63"/>
                <w:sz w:val="17"/>
              </w:rPr>
              <w:t>Catalog</w:t>
            </w:r>
          </w:p>
        </w:tc>
        <w:tc>
          <w:tcPr>
            <w:tcW w:type="dxa" w:w="6410"/>
            <w:vAlign w:val="center"/>
          </w:tcPr>
          <w:p>
            <w:pPr>
              <w:spacing w:after="40" w:line="252" w:lineRule="auto"/>
            </w:pPr>
            <w:r>
              <w:rPr>
                <w:rFonts w:ascii="Calibri" w:hAnsi="Calibri"/>
                <w:b w:val="0"/>
                <w:i w:val="0"/>
                <w:color w:val="163A63"/>
                <w:sz w:val="17"/>
              </w:rPr>
              <w:t>Development JSON auto-saves and preserves status/provenance.</w:t>
            </w:r>
          </w:p>
        </w:tc>
        <w:tc>
          <w:tcPr>
            <w:tcW w:type="dxa" w:w="1400"/>
            <w:vAlign w:val="center"/>
          </w:tcPr>
          <w:p>
            <w:pPr>
              <w:spacing w:after="40" w:line="252" w:lineRule="auto"/>
            </w:pPr>
            <w:r>
              <w:rPr>
                <w:rFonts w:ascii="Calibri" w:hAnsi="Calibri"/>
                <w:b w:val="0"/>
                <w:i w:val="0"/>
                <w:color w:val="163A63"/>
                <w:sz w:val="17"/>
              </w:rPr>
              <w:t>PASS / FAIL</w:t>
            </w:r>
          </w:p>
        </w:tc>
      </w:tr>
      <w:tr>
        <w:trPr>
          <w:cantSplit/>
        </w:trPr>
        <w:tc>
          <w:tcPr>
            <w:tcW w:type="dxa" w:w="1550"/>
            <w:vAlign w:val="center"/>
            <w:shd w:fill="F6F9FC"/>
          </w:tcPr>
          <w:p>
            <w:pPr>
              <w:spacing w:after="40" w:line="252" w:lineRule="auto"/>
            </w:pPr>
            <w:r>
              <w:rPr>
                <w:rFonts w:ascii="Calibri" w:hAnsi="Calibri"/>
                <w:b w:val="0"/>
                <w:i w:val="0"/>
                <w:color w:val="163A63"/>
                <w:sz w:val="17"/>
              </w:rPr>
              <w:t>Incremental update</w:t>
            </w:r>
          </w:p>
        </w:tc>
        <w:tc>
          <w:tcPr>
            <w:tcW w:type="dxa" w:w="6410"/>
            <w:vAlign w:val="center"/>
            <w:shd w:fill="F6F9FC"/>
          </w:tcPr>
          <w:p>
            <w:pPr>
              <w:spacing w:after="40" w:line="252" w:lineRule="auto"/>
            </w:pPr>
            <w:r>
              <w:rPr>
                <w:rFonts w:ascii="Calibri" w:hAnsi="Calibri"/>
                <w:b w:val="0"/>
                <w:i w:val="0"/>
                <w:color w:val="163A63"/>
                <w:sz w:val="17"/>
              </w:rPr>
              <w:t>Saved UI changes rescan correctly; completed translations survive; stale scans cannot export.</w:t>
            </w:r>
          </w:p>
        </w:tc>
        <w:tc>
          <w:tcPr>
            <w:tcW w:type="dxa" w:w="1400"/>
            <w:vAlign w:val="center"/>
            <w:shd w:fill="F6F9FC"/>
          </w:tcPr>
          <w:p>
            <w:pPr>
              <w:spacing w:after="40" w:line="252" w:lineRule="auto"/>
            </w:pPr>
            <w:r>
              <w:rPr>
                <w:rFonts w:ascii="Calibri" w:hAnsi="Calibri"/>
                <w:b w:val="0"/>
                <w:i w:val="0"/>
                <w:color w:val="163A63"/>
                <w:sz w:val="17"/>
              </w:rPr>
              <w:t>PASS / FAIL</w:t>
            </w:r>
          </w:p>
        </w:tc>
      </w:tr>
      <w:tr>
        <w:trPr>
          <w:cantSplit/>
        </w:trPr>
        <w:tc>
          <w:tcPr>
            <w:tcW w:type="dxa" w:w="1550"/>
            <w:vAlign w:val="center"/>
          </w:tcPr>
          <w:p>
            <w:pPr>
              <w:spacing w:after="40" w:line="252" w:lineRule="auto"/>
            </w:pPr>
            <w:r>
              <w:rPr>
                <w:rFonts w:ascii="Calibri" w:hAnsi="Calibri"/>
                <w:b w:val="0"/>
                <w:i w:val="0"/>
                <w:color w:val="163A63"/>
                <w:sz w:val="17"/>
              </w:rPr>
              <w:t>Validation</w:t>
            </w:r>
          </w:p>
        </w:tc>
        <w:tc>
          <w:tcPr>
            <w:tcW w:type="dxa" w:w="6410"/>
            <w:vAlign w:val="center"/>
          </w:tcPr>
          <w:p>
            <w:pPr>
              <w:spacing w:after="40" w:line="252" w:lineRule="auto"/>
            </w:pPr>
            <w:r>
              <w:rPr>
                <w:rFonts w:ascii="Calibri" w:hAnsi="Calibri"/>
                <w:b w:val="0"/>
                <w:i w:val="0"/>
                <w:color w:val="163A63"/>
                <w:sz w:val="17"/>
              </w:rPr>
              <w:t>Errors block export; corrected catalog passes.</w:t>
            </w:r>
          </w:p>
        </w:tc>
        <w:tc>
          <w:tcPr>
            <w:tcW w:type="dxa" w:w="1400"/>
            <w:vAlign w:val="center"/>
          </w:tcPr>
          <w:p>
            <w:pPr>
              <w:spacing w:after="40" w:line="252" w:lineRule="auto"/>
            </w:pPr>
            <w:r>
              <w:rPr>
                <w:rFonts w:ascii="Calibri" w:hAnsi="Calibri"/>
                <w:b w:val="0"/>
                <w:i w:val="0"/>
                <w:color w:val="163A63"/>
                <w:sz w:val="17"/>
              </w:rPr>
              <w:t>PASS / FAIL</w:t>
            </w:r>
          </w:p>
        </w:tc>
      </w:tr>
      <w:tr>
        <w:trPr>
          <w:cantSplit/>
        </w:trPr>
        <w:tc>
          <w:tcPr>
            <w:tcW w:type="dxa" w:w="1550"/>
            <w:vAlign w:val="center"/>
            <w:shd w:fill="F6F9FC"/>
          </w:tcPr>
          <w:p>
            <w:pPr>
              <w:spacing w:after="40" w:line="252" w:lineRule="auto"/>
            </w:pPr>
            <w:r>
              <w:rPr>
                <w:rFonts w:ascii="Calibri" w:hAnsi="Calibri"/>
                <w:b w:val="0"/>
                <w:i w:val="0"/>
                <w:color w:val="163A63"/>
                <w:sz w:val="17"/>
              </w:rPr>
              <w:t>Runtime pack</w:t>
            </w:r>
          </w:p>
        </w:tc>
        <w:tc>
          <w:tcPr>
            <w:tcW w:type="dxa" w:w="6410"/>
            <w:vAlign w:val="center"/>
            <w:shd w:fill="F6F9FC"/>
          </w:tcPr>
          <w:p>
            <w:pPr>
              <w:spacing w:after="40" w:line="252" w:lineRule="auto"/>
            </w:pPr>
            <w:r>
              <w:rPr>
                <w:rFonts w:ascii="Calibri" w:hAnsi="Calibri"/>
                <w:b w:val="0"/>
                <w:i w:val="0"/>
                <w:color w:val="163A63"/>
                <w:sz w:val="17"/>
              </w:rPr>
              <w:t>Compact JSON exists under target Localization\Languages.</w:t>
            </w:r>
          </w:p>
        </w:tc>
        <w:tc>
          <w:tcPr>
            <w:tcW w:type="dxa" w:w="1400"/>
            <w:vAlign w:val="center"/>
            <w:shd w:fill="F6F9FC"/>
          </w:tcPr>
          <w:p>
            <w:pPr>
              <w:spacing w:after="40" w:line="252" w:lineRule="auto"/>
            </w:pPr>
            <w:r>
              <w:rPr>
                <w:rFonts w:ascii="Calibri" w:hAnsi="Calibri"/>
                <w:b w:val="0"/>
                <w:i w:val="0"/>
                <w:color w:val="163A63"/>
                <w:sz w:val="17"/>
              </w:rPr>
              <w:t>PASS / FAIL</w:t>
            </w:r>
          </w:p>
        </w:tc>
      </w:tr>
      <w:tr>
        <w:trPr>
          <w:cantSplit/>
        </w:trPr>
        <w:tc>
          <w:tcPr>
            <w:tcW w:type="dxa" w:w="1550"/>
            <w:vAlign w:val="center"/>
          </w:tcPr>
          <w:p>
            <w:pPr>
              <w:spacing w:after="40" w:line="252" w:lineRule="auto"/>
            </w:pPr>
            <w:r>
              <w:rPr>
                <w:rFonts w:ascii="Calibri" w:hAnsi="Calibri"/>
                <w:b w:val="0"/>
                <w:i w:val="0"/>
                <w:color w:val="163A63"/>
                <w:sz w:val="17"/>
              </w:rPr>
              <w:t>Kit safety</w:t>
            </w:r>
          </w:p>
        </w:tc>
        <w:tc>
          <w:tcPr>
            <w:tcW w:type="dxa" w:w="6410"/>
            <w:vAlign w:val="center"/>
          </w:tcPr>
          <w:p>
            <w:pPr>
              <w:spacing w:after="40" w:line="252" w:lineRule="auto"/>
            </w:pPr>
            <w:r>
              <w:rPr>
                <w:rFonts w:ascii="Calibri" w:hAnsi="Calibri"/>
                <w:b w:val="0"/>
                <w:i w:val="0"/>
                <w:color w:val="163A63"/>
                <w:sz w:val="17"/>
              </w:rPr>
              <w:t>Component kit is complete and target hashes/status do not change during generation.</w:t>
            </w:r>
          </w:p>
        </w:tc>
        <w:tc>
          <w:tcPr>
            <w:tcW w:type="dxa" w:w="1400"/>
            <w:vAlign w:val="center"/>
          </w:tcPr>
          <w:p>
            <w:pPr>
              <w:spacing w:after="40" w:line="252" w:lineRule="auto"/>
            </w:pPr>
            <w:r>
              <w:rPr>
                <w:rFonts w:ascii="Calibri" w:hAnsi="Calibri"/>
                <w:b w:val="0"/>
                <w:i w:val="0"/>
                <w:color w:val="163A63"/>
                <w:sz w:val="17"/>
              </w:rPr>
              <w:t>PASS / FAIL</w:t>
            </w:r>
          </w:p>
        </w:tc>
      </w:tr>
      <w:tr>
        <w:trPr>
          <w:cantSplit/>
        </w:trPr>
        <w:tc>
          <w:tcPr>
            <w:tcW w:type="dxa" w:w="1550"/>
            <w:vAlign w:val="center"/>
            <w:shd w:fill="F6F9FC"/>
          </w:tcPr>
          <w:p>
            <w:pPr>
              <w:spacing w:after="40" w:line="252" w:lineRule="auto"/>
            </w:pPr>
            <w:r>
              <w:rPr>
                <w:rFonts w:ascii="Calibri" w:hAnsi="Calibri"/>
                <w:b w:val="0"/>
                <w:i w:val="0"/>
                <w:color w:val="163A63"/>
                <w:sz w:val="17"/>
              </w:rPr>
              <w:t>IDE integration</w:t>
            </w:r>
          </w:p>
        </w:tc>
        <w:tc>
          <w:tcPr>
            <w:tcW w:type="dxa" w:w="6410"/>
            <w:vAlign w:val="center"/>
            <w:shd w:fill="F6F9FC"/>
          </w:tcPr>
          <w:p>
            <w:pPr>
              <w:spacing w:after="40" w:line="252" w:lineRule="auto"/>
            </w:pPr>
            <w:r>
              <w:rPr>
                <w:rFonts w:ascii="Calibri" w:hAnsi="Calibri"/>
                <w:b w:val="0"/>
                <w:i w:val="0"/>
                <w:color w:val="163A63"/>
                <w:sz w:val="17"/>
              </w:rPr>
              <w:t>One manager and optional selector are designer-authored and reviewable.</w:t>
            </w:r>
          </w:p>
        </w:tc>
        <w:tc>
          <w:tcPr>
            <w:tcW w:type="dxa" w:w="1400"/>
            <w:vAlign w:val="center"/>
            <w:shd w:fill="F6F9FC"/>
          </w:tcPr>
          <w:p>
            <w:pPr>
              <w:spacing w:after="40" w:line="252" w:lineRule="auto"/>
            </w:pPr>
            <w:r>
              <w:rPr>
                <w:rFonts w:ascii="Calibri" w:hAnsi="Calibri"/>
                <w:b w:val="0"/>
                <w:i w:val="0"/>
                <w:color w:val="163A63"/>
                <w:sz w:val="17"/>
              </w:rPr>
              <w:t>PASS / FAIL</w:t>
            </w:r>
          </w:p>
        </w:tc>
      </w:tr>
      <w:tr>
        <w:trPr>
          <w:cantSplit/>
        </w:trPr>
        <w:tc>
          <w:tcPr>
            <w:tcW w:type="dxa" w:w="1550"/>
            <w:vAlign w:val="center"/>
          </w:tcPr>
          <w:p>
            <w:pPr>
              <w:spacing w:after="40" w:line="252" w:lineRule="auto"/>
            </w:pPr>
            <w:r>
              <w:rPr>
                <w:rFonts w:ascii="Calibri" w:hAnsi="Calibri"/>
                <w:b w:val="0"/>
                <w:i w:val="0"/>
                <w:color w:val="163A63"/>
                <w:sz w:val="17"/>
              </w:rPr>
              <w:t>Builds</w:t>
            </w:r>
          </w:p>
        </w:tc>
        <w:tc>
          <w:tcPr>
            <w:tcW w:type="dxa" w:w="6410"/>
            <w:vAlign w:val="center"/>
          </w:tcPr>
          <w:p>
            <w:pPr>
              <w:spacing w:after="40" w:line="252" w:lineRule="auto"/>
            </w:pPr>
            <w:r>
              <w:rPr>
                <w:rFonts w:ascii="Calibri" w:hAnsi="Calibri"/>
                <w:b w:val="0"/>
                <w:i w:val="0"/>
                <w:color w:val="163A63"/>
                <w:sz w:val="17"/>
              </w:rPr>
              <w:t>GA4 builds Win32 and Win64; Release variants tested as required.</w:t>
            </w:r>
          </w:p>
        </w:tc>
        <w:tc>
          <w:tcPr>
            <w:tcW w:type="dxa" w:w="1400"/>
            <w:vAlign w:val="center"/>
          </w:tcPr>
          <w:p>
            <w:pPr>
              <w:spacing w:after="40" w:line="252" w:lineRule="auto"/>
            </w:pPr>
            <w:r>
              <w:rPr>
                <w:rFonts w:ascii="Calibri" w:hAnsi="Calibri"/>
                <w:b w:val="0"/>
                <w:i w:val="0"/>
                <w:color w:val="163A63"/>
                <w:sz w:val="17"/>
              </w:rPr>
              <w:t>PASS / FAIL</w:t>
            </w:r>
          </w:p>
        </w:tc>
      </w:tr>
      <w:tr>
        <w:trPr>
          <w:cantSplit/>
        </w:trPr>
        <w:tc>
          <w:tcPr>
            <w:tcW w:type="dxa" w:w="1550"/>
            <w:vAlign w:val="center"/>
            <w:shd w:fill="F6F9FC"/>
          </w:tcPr>
          <w:p>
            <w:pPr>
              <w:spacing w:after="40" w:line="252" w:lineRule="auto"/>
            </w:pPr>
            <w:r>
              <w:rPr>
                <w:rFonts w:ascii="Calibri" w:hAnsi="Calibri"/>
                <w:b w:val="0"/>
                <w:i w:val="0"/>
                <w:color w:val="163A63"/>
                <w:sz w:val="17"/>
              </w:rPr>
              <w:t>Instant switching</w:t>
            </w:r>
          </w:p>
        </w:tc>
        <w:tc>
          <w:tcPr>
            <w:tcW w:type="dxa" w:w="6410"/>
            <w:vAlign w:val="center"/>
            <w:shd w:fill="F6F9FC"/>
          </w:tcPr>
          <w:p>
            <w:pPr>
              <w:spacing w:after="40" w:line="252" w:lineRule="auto"/>
            </w:pPr>
            <w:r>
              <w:rPr>
                <w:rFonts w:ascii="Calibri" w:hAnsi="Calibri"/>
                <w:b w:val="0"/>
                <w:i w:val="0"/>
                <w:color w:val="163A63"/>
                <w:sz w:val="17"/>
              </w:rPr>
              <w:t>Open and new forms switch immediately and return to English.</w:t>
            </w:r>
          </w:p>
        </w:tc>
        <w:tc>
          <w:tcPr>
            <w:tcW w:type="dxa" w:w="1400"/>
            <w:vAlign w:val="center"/>
            <w:shd w:fill="F6F9FC"/>
          </w:tcPr>
          <w:p>
            <w:pPr>
              <w:spacing w:after="40" w:line="252" w:lineRule="auto"/>
            </w:pPr>
            <w:r>
              <w:rPr>
                <w:rFonts w:ascii="Calibri" w:hAnsi="Calibri"/>
                <w:b w:val="0"/>
                <w:i w:val="0"/>
                <w:color w:val="163A63"/>
                <w:sz w:val="17"/>
              </w:rPr>
              <w:t>PASS / FAIL</w:t>
            </w:r>
          </w:p>
        </w:tc>
      </w:tr>
      <w:tr>
        <w:trPr>
          <w:cantSplit/>
        </w:trPr>
        <w:tc>
          <w:tcPr>
            <w:tcW w:type="dxa" w:w="1550"/>
            <w:vAlign w:val="center"/>
          </w:tcPr>
          <w:p>
            <w:pPr>
              <w:spacing w:after="40" w:line="252" w:lineRule="auto"/>
            </w:pPr>
            <w:r>
              <w:rPr>
                <w:rFonts w:ascii="Calibri" w:hAnsi="Calibri"/>
                <w:b w:val="0"/>
                <w:i w:val="0"/>
                <w:color w:val="163A63"/>
                <w:sz w:val="17"/>
              </w:rPr>
              <w:t>State</w:t>
            </w:r>
          </w:p>
        </w:tc>
        <w:tc>
          <w:tcPr>
            <w:tcW w:type="dxa" w:w="6410"/>
            <w:vAlign w:val="center"/>
          </w:tcPr>
          <w:p>
            <w:pPr>
              <w:spacing w:after="40" w:line="252" w:lineRule="auto"/>
            </w:pPr>
            <w:r>
              <w:rPr>
                <w:rFonts w:ascii="Calibri" w:hAnsi="Calibri"/>
                <w:b w:val="0"/>
                <w:i w:val="0"/>
                <w:color w:val="163A63"/>
                <w:sz w:val="17"/>
              </w:rPr>
              <w:t>Date range, editable values, selection, focus, and indexes survive switching.</w:t>
            </w:r>
          </w:p>
        </w:tc>
        <w:tc>
          <w:tcPr>
            <w:tcW w:type="dxa" w:w="1400"/>
            <w:vAlign w:val="center"/>
          </w:tcPr>
          <w:p>
            <w:pPr>
              <w:spacing w:after="40" w:line="252" w:lineRule="auto"/>
            </w:pPr>
            <w:r>
              <w:rPr>
                <w:rFonts w:ascii="Calibri" w:hAnsi="Calibri"/>
                <w:b w:val="0"/>
                <w:i w:val="0"/>
                <w:color w:val="163A63"/>
                <w:sz w:val="17"/>
              </w:rPr>
              <w:t>PASS / FAIL</w:t>
            </w:r>
          </w:p>
        </w:tc>
      </w:tr>
      <w:tr>
        <w:trPr>
          <w:cantSplit/>
        </w:trPr>
        <w:tc>
          <w:tcPr>
            <w:tcW w:type="dxa" w:w="1550"/>
            <w:vAlign w:val="center"/>
            <w:shd w:fill="F6F9FC"/>
          </w:tcPr>
          <w:p>
            <w:pPr>
              <w:spacing w:after="40" w:line="252" w:lineRule="auto"/>
            </w:pPr>
            <w:r>
              <w:rPr>
                <w:rFonts w:ascii="Calibri" w:hAnsi="Calibri"/>
                <w:b w:val="0"/>
                <w:i w:val="0"/>
                <w:color w:val="163A63"/>
                <w:sz w:val="17"/>
              </w:rPr>
              <w:t>Persistence</w:t>
            </w:r>
          </w:p>
        </w:tc>
        <w:tc>
          <w:tcPr>
            <w:tcW w:type="dxa" w:w="6410"/>
            <w:vAlign w:val="center"/>
            <w:shd w:fill="F6F9FC"/>
          </w:tcPr>
          <w:p>
            <w:pPr>
              <w:spacing w:after="40" w:line="252" w:lineRule="auto"/>
            </w:pPr>
            <w:r>
              <w:rPr>
                <w:rFonts w:ascii="Calibri" w:hAnsi="Calibri"/>
                <w:b w:val="0"/>
                <w:i w:val="0"/>
                <w:color w:val="163A63"/>
                <w:sz w:val="17"/>
              </w:rPr>
              <w:t>Selected locale survives a restart without startup exception.</w:t>
            </w:r>
          </w:p>
        </w:tc>
        <w:tc>
          <w:tcPr>
            <w:tcW w:type="dxa" w:w="1400"/>
            <w:vAlign w:val="center"/>
            <w:shd w:fill="F6F9FC"/>
          </w:tcPr>
          <w:p>
            <w:pPr>
              <w:spacing w:after="40" w:line="252" w:lineRule="auto"/>
            </w:pPr>
            <w:r>
              <w:rPr>
                <w:rFonts w:ascii="Calibri" w:hAnsi="Calibri"/>
                <w:b w:val="0"/>
                <w:i w:val="0"/>
                <w:color w:val="163A63"/>
                <w:sz w:val="17"/>
              </w:rPr>
              <w:t>PASS / FAIL</w:t>
            </w:r>
          </w:p>
        </w:tc>
      </w:tr>
      <w:tr>
        <w:trPr>
          <w:cantSplit/>
        </w:trPr>
        <w:tc>
          <w:tcPr>
            <w:tcW w:type="dxa" w:w="1550"/>
            <w:vAlign w:val="center"/>
          </w:tcPr>
          <w:p>
            <w:pPr>
              <w:spacing w:after="40" w:line="252" w:lineRule="auto"/>
            </w:pPr>
            <w:r>
              <w:rPr>
                <w:rFonts w:ascii="Calibri" w:hAnsi="Calibri"/>
                <w:b w:val="0"/>
                <w:i w:val="0"/>
                <w:color w:val="163A63"/>
                <w:sz w:val="17"/>
              </w:rPr>
              <w:t>Offline</w:t>
            </w:r>
          </w:p>
        </w:tc>
        <w:tc>
          <w:tcPr>
            <w:tcW w:type="dxa" w:w="6410"/>
            <w:vAlign w:val="center"/>
          </w:tcPr>
          <w:p>
            <w:pPr>
              <w:spacing w:after="40" w:line="252" w:lineRule="auto"/>
            </w:pPr>
            <w:r>
              <w:rPr>
                <w:rFonts w:ascii="Calibri" w:hAnsi="Calibri"/>
                <w:b w:val="0"/>
                <w:i w:val="0"/>
                <w:color w:val="163A63"/>
                <w:sz w:val="17"/>
              </w:rPr>
              <w:t>Target switches languages and restarts with no Internet or Studio.</w:t>
            </w:r>
          </w:p>
        </w:tc>
        <w:tc>
          <w:tcPr>
            <w:tcW w:type="dxa" w:w="1400"/>
            <w:vAlign w:val="center"/>
          </w:tcPr>
          <w:p>
            <w:pPr>
              <w:spacing w:after="40" w:line="252" w:lineRule="auto"/>
            </w:pPr>
            <w:r>
              <w:rPr>
                <w:rFonts w:ascii="Calibri" w:hAnsi="Calibri"/>
                <w:b w:val="0"/>
                <w:i w:val="0"/>
                <w:color w:val="163A63"/>
                <w:sz w:val="17"/>
              </w:rPr>
              <w:t>PASS / FAIL</w:t>
            </w:r>
          </w:p>
        </w:tc>
      </w:tr>
      <w:tr>
        <w:trPr>
          <w:cantSplit/>
        </w:trPr>
        <w:tc>
          <w:tcPr>
            <w:tcW w:type="dxa" w:w="1550"/>
            <w:vAlign w:val="center"/>
            <w:shd w:fill="F6F9FC"/>
          </w:tcPr>
          <w:p>
            <w:pPr>
              <w:spacing w:after="40" w:line="252" w:lineRule="auto"/>
            </w:pPr>
            <w:r>
              <w:rPr>
                <w:rFonts w:ascii="Calibri" w:hAnsi="Calibri"/>
                <w:b w:val="0"/>
                <w:i w:val="0"/>
                <w:color w:val="163A63"/>
                <w:sz w:val="17"/>
              </w:rPr>
              <w:t>VCL</w:t>
            </w:r>
          </w:p>
        </w:tc>
        <w:tc>
          <w:tcPr>
            <w:tcW w:type="dxa" w:w="6410"/>
            <w:vAlign w:val="center"/>
            <w:shd w:fill="F6F9FC"/>
          </w:tcPr>
          <w:p>
            <w:pPr>
              <w:spacing w:after="40" w:line="252" w:lineRule="auto"/>
            </w:pPr>
            <w:r>
              <w:rPr>
                <w:rFonts w:ascii="Calibri" w:hAnsi="Calibri"/>
                <w:b w:val="0"/>
                <w:i w:val="0"/>
                <w:color w:val="163A63"/>
                <w:sz w:val="17"/>
              </w:rPr>
              <w:t>VCL delta and modeless-form boundary are accepted/documented.</w:t>
            </w:r>
          </w:p>
        </w:tc>
        <w:tc>
          <w:tcPr>
            <w:tcW w:type="dxa" w:w="1400"/>
            <w:vAlign w:val="center"/>
            <w:shd w:fill="F6F9FC"/>
          </w:tcPr>
          <w:p>
            <w:pPr>
              <w:spacing w:after="40" w:line="252" w:lineRule="auto"/>
            </w:pPr>
            <w:r>
              <w:rPr>
                <w:rFonts w:ascii="Calibri" w:hAnsi="Calibri"/>
                <w:b w:val="0"/>
                <w:i w:val="0"/>
                <w:color w:val="163A63"/>
                <w:sz w:val="17"/>
              </w:rPr>
              <w:t>PASS / FAIL / N/A</w:t>
            </w:r>
          </w:p>
        </w:tc>
      </w:tr>
      <w:tr>
        <w:trPr>
          <w:cantSplit/>
        </w:trPr>
        <w:tc>
          <w:tcPr>
            <w:tcW w:type="dxa" w:w="1550"/>
            <w:vAlign w:val="center"/>
          </w:tcPr>
          <w:p>
            <w:pPr>
              <w:spacing w:after="40" w:line="252" w:lineRule="auto"/>
            </w:pPr>
            <w:r>
              <w:rPr>
                <w:rFonts w:ascii="Calibri" w:hAnsi="Calibri"/>
                <w:b w:val="0"/>
                <w:i w:val="0"/>
                <w:color w:val="163A63"/>
                <w:sz w:val="17"/>
              </w:rPr>
              <w:t>Documentation</w:t>
            </w:r>
          </w:p>
        </w:tc>
        <w:tc>
          <w:tcPr>
            <w:tcW w:type="dxa" w:w="6410"/>
            <w:vAlign w:val="center"/>
          </w:tcPr>
          <w:p>
            <w:pPr>
              <w:spacing w:after="40" w:line="252" w:lineRule="auto"/>
            </w:pPr>
            <w:r>
              <w:rPr>
                <w:rFonts w:ascii="Calibri" w:hAnsi="Calibri"/>
                <w:b w:val="0"/>
                <w:i w:val="0"/>
                <w:color w:val="163A63"/>
                <w:sz w:val="17"/>
              </w:rPr>
              <w:t>Guide results and defects are complete enough to reproduce.</w:t>
            </w:r>
          </w:p>
        </w:tc>
        <w:tc>
          <w:tcPr>
            <w:tcW w:type="dxa" w:w="1400"/>
            <w:vAlign w:val="center"/>
          </w:tcPr>
          <w:p>
            <w:pPr>
              <w:spacing w:after="40" w:line="252" w:lineRule="auto"/>
            </w:pPr>
            <w:r>
              <w:rPr>
                <w:rFonts w:ascii="Calibri" w:hAnsi="Calibri"/>
                <w:b w:val="0"/>
                <w:i w:val="0"/>
                <w:color w:val="163A63"/>
                <w:sz w:val="17"/>
              </w:rPr>
              <w:t>PASS / FAIL</w:t>
            </w:r>
          </w:p>
        </w:tc>
      </w:tr>
    </w:tbl>
    <w:p/>
    <w:tbl>
      <w:tblPr>
        <w:tblStyle w:val="TableGrid"/>
        <w:jc w:val="center"/>
        <w:tblLook w:firstColumn="1" w:firstRow="1" w:lastColumn="0" w:lastRow="0" w:noHBand="0" w:noVBand="1" w:val="04A0"/>
        <w:tblW w:w="9360" w:type="dxa"/>
        <w:tblInd w:w="120" w:type="dxa"/>
        <w:tblLayout w:type="fixed"/>
        <w:tblCellMar>
          <w:top w:w="80" w:type="dxa"/>
          <w:bottom w:w="80" w:type="dxa"/>
          <w:start w:w="120" w:type="dxa"/>
          <w:end w:w="120" w:type="dxa"/>
        </w:tblCellMar>
      </w:tblPr>
      <w:tblGrid>
        <w:gridCol w:w="1900"/>
        <w:gridCol w:w="2400"/>
        <w:gridCol w:w="3160"/>
        <w:gridCol w:w="1900"/>
      </w:tblGrid>
      <w:tr>
        <w:trPr>
          <w:tblHeader w:val="true"/>
        </w:trPr>
        <w:tc>
          <w:tcPr>
            <w:tcW w:type="dxa" w:w="1900"/>
            <w:shd w:fill="234C80"/>
            <w:vAlign w:val="center"/>
          </w:tcPr>
          <w:p>
            <w:r>
              <w:rPr>
                <w:rFonts w:ascii="Calibri" w:hAnsi="Calibri"/>
                <w:b/>
                <w:i w:val="0"/>
                <w:color w:val="FFFFFF"/>
                <w:sz w:val="18"/>
              </w:rPr>
              <w:t>Approval</w:t>
            </w:r>
          </w:p>
        </w:tc>
        <w:tc>
          <w:tcPr>
            <w:tcW w:type="dxa" w:w="2400"/>
            <w:shd w:fill="234C80"/>
            <w:vAlign w:val="center"/>
          </w:tcPr>
          <w:p>
            <w:r>
              <w:rPr>
                <w:rFonts w:ascii="Calibri" w:hAnsi="Calibri"/>
                <w:b/>
                <w:i w:val="0"/>
                <w:color w:val="FFFFFF"/>
                <w:sz w:val="18"/>
              </w:rPr>
              <w:t>Name</w:t>
            </w:r>
          </w:p>
        </w:tc>
        <w:tc>
          <w:tcPr>
            <w:tcW w:type="dxa" w:w="3160"/>
            <w:shd w:fill="234C80"/>
            <w:vAlign w:val="center"/>
          </w:tcPr>
          <w:p>
            <w:r>
              <w:rPr>
                <w:rFonts w:ascii="Calibri" w:hAnsi="Calibri"/>
                <w:b/>
                <w:i w:val="0"/>
                <w:color w:val="FFFFFF"/>
                <w:sz w:val="18"/>
              </w:rPr>
              <w:t>Signature</w:t>
            </w:r>
          </w:p>
        </w:tc>
        <w:tc>
          <w:tcPr>
            <w:tcW w:type="dxa" w:w="1900"/>
            <w:shd w:fill="234C80"/>
            <w:vAlign w:val="center"/>
          </w:tcPr>
          <w:p>
            <w:r>
              <w:rPr>
                <w:rFonts w:ascii="Calibri" w:hAnsi="Calibri"/>
                <w:b/>
                <w:i w:val="0"/>
                <w:color w:val="FFFFFF"/>
                <w:sz w:val="18"/>
              </w:rPr>
              <w:t>Date</w:t>
            </w:r>
          </w:p>
        </w:tc>
      </w:tr>
      <w:tr>
        <w:trPr>
          <w:cantSplit/>
        </w:trPr>
        <w:tc>
          <w:tcPr>
            <w:tcW w:type="dxa" w:w="1900"/>
            <w:vAlign w:val="center"/>
          </w:tcPr>
          <w:p>
            <w:pPr>
              <w:spacing w:after="40" w:line="252" w:lineRule="auto"/>
            </w:pPr>
            <w:r>
              <w:rPr>
                <w:rFonts w:ascii="Calibri" w:hAnsi="Calibri"/>
                <w:b w:val="0"/>
                <w:i w:val="0"/>
                <w:color w:val="163A63"/>
                <w:sz w:val="18"/>
              </w:rPr>
              <w:t>Test lead</w:t>
            </w:r>
          </w:p>
        </w:tc>
        <w:tc>
          <w:tcPr>
            <w:tcW w:type="dxa" w:w="2400"/>
            <w:vAlign w:val="center"/>
          </w:tcPr>
          <w:p>
            <w:pPr>
              <w:spacing w:after="40" w:line="252" w:lineRule="auto"/>
            </w:pPr>
            <w:r>
              <w:rPr>
                <w:rFonts w:ascii="Calibri" w:hAnsi="Calibri"/>
                <w:b w:val="0"/>
                <w:i w:val="0"/>
                <w:color w:val="163A63"/>
                <w:sz w:val="18"/>
              </w:rPr>
            </w:r>
          </w:p>
        </w:tc>
        <w:tc>
          <w:tcPr>
            <w:tcW w:type="dxa" w:w="3160"/>
            <w:vAlign w:val="center"/>
          </w:tcPr>
          <w:p>
            <w:pPr>
              <w:spacing w:after="40" w:line="252" w:lineRule="auto"/>
            </w:pPr>
            <w:r>
              <w:rPr>
                <w:rFonts w:ascii="Calibri" w:hAnsi="Calibri"/>
                <w:b w:val="0"/>
                <w:i w:val="0"/>
                <w:color w:val="163A63"/>
                <w:sz w:val="18"/>
              </w:rPr>
            </w:r>
          </w:p>
        </w:tc>
        <w:tc>
          <w:tcPr>
            <w:tcW w:type="dxa" w:w="1900"/>
            <w:vAlign w:val="center"/>
          </w:tcPr>
          <w:p>
            <w:pPr>
              <w:spacing w:after="40" w:line="252" w:lineRule="auto"/>
            </w:pPr>
            <w:r>
              <w:rPr>
                <w:rFonts w:ascii="Calibri" w:hAnsi="Calibri"/>
                <w:b w:val="0"/>
                <w:i w:val="0"/>
                <w:color w:val="163A63"/>
                <w:sz w:val="18"/>
              </w:rPr>
            </w:r>
          </w:p>
        </w:tc>
      </w:tr>
      <w:tr>
        <w:trPr>
          <w:cantSplit/>
        </w:trPr>
        <w:tc>
          <w:tcPr>
            <w:tcW w:type="dxa" w:w="1900"/>
            <w:vAlign w:val="center"/>
            <w:shd w:fill="F6F9FC"/>
          </w:tcPr>
          <w:p>
            <w:pPr>
              <w:spacing w:after="40" w:line="252" w:lineRule="auto"/>
            </w:pPr>
            <w:r>
              <w:rPr>
                <w:rFonts w:ascii="Calibri" w:hAnsi="Calibri"/>
                <w:b w:val="0"/>
                <w:i w:val="0"/>
                <w:color w:val="163A63"/>
                <w:sz w:val="18"/>
              </w:rPr>
              <w:t>Developer</w:t>
            </w:r>
          </w:p>
        </w:tc>
        <w:tc>
          <w:tcPr>
            <w:tcW w:type="dxa" w:w="2400"/>
            <w:vAlign w:val="center"/>
            <w:shd w:fill="F6F9FC"/>
          </w:tcPr>
          <w:p>
            <w:pPr>
              <w:spacing w:after="40" w:line="252" w:lineRule="auto"/>
            </w:pPr>
            <w:r>
              <w:rPr>
                <w:rFonts w:ascii="Calibri" w:hAnsi="Calibri"/>
                <w:b w:val="0"/>
                <w:i w:val="0"/>
                <w:color w:val="163A63"/>
                <w:sz w:val="18"/>
              </w:rPr>
            </w:r>
          </w:p>
        </w:tc>
        <w:tc>
          <w:tcPr>
            <w:tcW w:type="dxa" w:w="3160"/>
            <w:vAlign w:val="center"/>
            <w:shd w:fill="F6F9FC"/>
          </w:tcPr>
          <w:p>
            <w:pPr>
              <w:spacing w:after="40" w:line="252" w:lineRule="auto"/>
            </w:pPr>
            <w:r>
              <w:rPr>
                <w:rFonts w:ascii="Calibri" w:hAnsi="Calibri"/>
                <w:b w:val="0"/>
                <w:i w:val="0"/>
                <w:color w:val="163A63"/>
                <w:sz w:val="18"/>
              </w:rPr>
            </w:r>
          </w:p>
        </w:tc>
        <w:tc>
          <w:tcPr>
            <w:tcW w:type="dxa" w:w="1900"/>
            <w:vAlign w:val="center"/>
            <w:shd w:fill="F6F9FC"/>
          </w:tcPr>
          <w:p>
            <w:pPr>
              <w:spacing w:after="40" w:line="252" w:lineRule="auto"/>
            </w:pPr>
            <w:r>
              <w:rPr>
                <w:rFonts w:ascii="Calibri" w:hAnsi="Calibri"/>
                <w:b w:val="0"/>
                <w:i w:val="0"/>
                <w:color w:val="163A63"/>
                <w:sz w:val="18"/>
              </w:rPr>
            </w:r>
          </w:p>
        </w:tc>
      </w:tr>
      <w:tr>
        <w:trPr>
          <w:cantSplit/>
        </w:trPr>
        <w:tc>
          <w:tcPr>
            <w:tcW w:type="dxa" w:w="1900"/>
            <w:vAlign w:val="center"/>
          </w:tcPr>
          <w:p>
            <w:pPr>
              <w:spacing w:after="40" w:line="252" w:lineRule="auto"/>
            </w:pPr>
            <w:r>
              <w:rPr>
                <w:rFonts w:ascii="Calibri" w:hAnsi="Calibri"/>
                <w:b w:val="0"/>
                <w:i w:val="0"/>
                <w:color w:val="163A63"/>
                <w:sz w:val="18"/>
              </w:rPr>
              <w:t>Product owner</w:t>
            </w:r>
          </w:p>
        </w:tc>
        <w:tc>
          <w:tcPr>
            <w:tcW w:type="dxa" w:w="2400"/>
            <w:vAlign w:val="center"/>
          </w:tcPr>
          <w:p>
            <w:pPr>
              <w:spacing w:after="40" w:line="252" w:lineRule="auto"/>
            </w:pPr>
            <w:r>
              <w:rPr>
                <w:rFonts w:ascii="Calibri" w:hAnsi="Calibri"/>
                <w:b w:val="0"/>
                <w:i w:val="0"/>
                <w:color w:val="163A63"/>
                <w:sz w:val="18"/>
              </w:rPr>
            </w:r>
          </w:p>
        </w:tc>
        <w:tc>
          <w:tcPr>
            <w:tcW w:type="dxa" w:w="3160"/>
            <w:vAlign w:val="center"/>
          </w:tcPr>
          <w:p>
            <w:pPr>
              <w:spacing w:after="40" w:line="252" w:lineRule="auto"/>
            </w:pPr>
            <w:r>
              <w:rPr>
                <w:rFonts w:ascii="Calibri" w:hAnsi="Calibri"/>
                <w:b w:val="0"/>
                <w:i w:val="0"/>
                <w:color w:val="163A63"/>
                <w:sz w:val="18"/>
              </w:rPr>
            </w:r>
          </w:p>
        </w:tc>
        <w:tc>
          <w:tcPr>
            <w:tcW w:type="dxa" w:w="1900"/>
            <w:vAlign w:val="center"/>
          </w:tcPr>
          <w:p>
            <w:pPr>
              <w:spacing w:after="40" w:line="252" w:lineRule="auto"/>
            </w:pPr>
            <w:r>
              <w:rPr>
                <w:rFonts w:ascii="Calibri" w:hAnsi="Calibri"/>
                <w:b w:val="0"/>
                <w:i w:val="0"/>
                <w:color w:val="163A63"/>
                <w:sz w:val="18"/>
              </w:rPr>
            </w:r>
          </w:p>
        </w:tc>
      </w:tr>
    </w:tbl>
    <w:p/>
    <w:p>
      <w:pPr>
        <w:pStyle w:val="Heading1"/>
      </w:pPr>
      <w:r>
        <w:t>16. Appendix A - Exact Test Scripts</w:t>
      </w:r>
    </w:p>
    <w:tbl>
      <w:tblPr>
        <w:tblStyle w:val="TableGrid"/>
        <w:jc w:val="center"/>
        <w:tblLook w:firstColumn="1" w:firstRow="1" w:lastColumn="0" w:lastRow="0" w:noHBand="0" w:noVBand="1" w:val="04A0"/>
        <w:tblW w:w="9360" w:type="dxa"/>
        <w:tblInd w:w="120" w:type="dxa"/>
        <w:tblLayout w:type="fixed"/>
        <w:tblCellMar>
          <w:top w:w="80" w:type="dxa"/>
          <w:bottom w:w="80" w:type="dxa"/>
          <w:start w:w="120" w:type="dxa"/>
          <w:end w:w="120" w:type="dxa"/>
        </w:tblCellMar>
      </w:tblPr>
      <w:tblGrid>
        <w:gridCol w:w="4200"/>
        <w:gridCol w:w="5160"/>
      </w:tblGrid>
      <w:tr>
        <w:trPr>
          <w:tblHeader w:val="true"/>
        </w:trPr>
        <w:tc>
          <w:tcPr>
            <w:tcW w:type="dxa" w:w="4200"/>
            <w:shd w:fill="234C80"/>
            <w:vAlign w:val="center"/>
          </w:tcPr>
          <w:p>
            <w:r>
              <w:rPr>
                <w:rFonts w:ascii="Calibri" w:hAnsi="Calibri"/>
                <w:b/>
                <w:i w:val="0"/>
                <w:color w:val="FFFFFF"/>
                <w:sz w:val="17"/>
              </w:rPr>
              <w:t>Script</w:t>
            </w:r>
          </w:p>
        </w:tc>
        <w:tc>
          <w:tcPr>
            <w:tcW w:type="dxa" w:w="5160"/>
            <w:shd w:fill="234C80"/>
            <w:vAlign w:val="center"/>
          </w:tcPr>
          <w:p>
            <w:r>
              <w:rPr>
                <w:rFonts w:ascii="Calibri" w:hAnsi="Calibri"/>
                <w:b/>
                <w:i w:val="0"/>
                <w:color w:val="FFFFFF"/>
                <w:sz w:val="17"/>
              </w:rPr>
              <w:t>Purpose</w:t>
            </w:r>
          </w:p>
        </w:tc>
      </w:tr>
      <w:tr>
        <w:trPr>
          <w:cantSplit/>
        </w:trPr>
        <w:tc>
          <w:tcPr>
            <w:tcW w:type="dxa" w:w="4200"/>
            <w:vAlign w:val="center"/>
          </w:tcPr>
          <w:p>
            <w:pPr>
              <w:spacing w:after="40" w:line="252" w:lineRule="auto"/>
            </w:pPr>
            <w:r>
              <w:rPr>
                <w:rFonts w:ascii="Calibri" w:hAnsi="Calibri"/>
                <w:b w:val="0"/>
                <w:i w:val="0"/>
                <w:color w:val="163A63"/>
                <w:sz w:val="17"/>
              </w:rPr>
              <w:t>tools\tests\RunPhase10ReleaseValidation.ps1</w:t>
            </w:r>
          </w:p>
        </w:tc>
        <w:tc>
          <w:tcPr>
            <w:tcW w:type="dxa" w:w="5160"/>
            <w:vAlign w:val="center"/>
          </w:tcPr>
          <w:p>
            <w:pPr>
              <w:spacing w:after="40" w:line="252" w:lineRule="auto"/>
            </w:pPr>
            <w:r>
              <w:rPr>
                <w:rFonts w:ascii="Calibri" w:hAnsi="Calibri"/>
                <w:b w:val="0"/>
                <w:i w:val="0"/>
                <w:color w:val="163A63"/>
                <w:sz w:val="17"/>
              </w:rPr>
              <w:t>Master supported release matrix.</w:t>
            </w:r>
          </w:p>
        </w:tc>
      </w:tr>
      <w:tr>
        <w:trPr>
          <w:cantSplit/>
        </w:trPr>
        <w:tc>
          <w:tcPr>
            <w:tcW w:type="dxa" w:w="4200"/>
            <w:vAlign w:val="center"/>
            <w:shd w:fill="F6F9FC"/>
          </w:tcPr>
          <w:p>
            <w:pPr>
              <w:spacing w:after="40" w:line="252" w:lineRule="auto"/>
            </w:pPr>
            <w:r>
              <w:rPr>
                <w:rFonts w:ascii="Calibri" w:hAnsi="Calibri"/>
                <w:b w:val="0"/>
                <w:i w:val="0"/>
                <w:color w:val="163A63"/>
                <w:sz w:val="17"/>
              </w:rPr>
              <w:t>tools\tests\RunLanguageManagerPackageTests.ps1</w:t>
            </w:r>
          </w:p>
        </w:tc>
        <w:tc>
          <w:tcPr>
            <w:tcW w:type="dxa" w:w="5160"/>
            <w:vAlign w:val="center"/>
            <w:shd w:fill="F6F9FC"/>
          </w:tcPr>
          <w:p>
            <w:pPr>
              <w:spacing w:after="40" w:line="252" w:lineRule="auto"/>
            </w:pPr>
            <w:r>
              <w:rPr>
                <w:rFonts w:ascii="Calibri" w:hAnsi="Calibri"/>
                <w:b w:val="0"/>
                <w:i w:val="0"/>
                <w:color w:val="163A63"/>
                <w:sz w:val="17"/>
              </w:rPr>
              <w:t>Debug/Release runtime/design packages and streaming/selector tests.</w:t>
            </w:r>
          </w:p>
        </w:tc>
      </w:tr>
      <w:tr>
        <w:trPr>
          <w:cantSplit/>
        </w:trPr>
        <w:tc>
          <w:tcPr>
            <w:tcW w:type="dxa" w:w="4200"/>
            <w:vAlign w:val="center"/>
          </w:tcPr>
          <w:p>
            <w:pPr>
              <w:spacing w:after="40" w:line="252" w:lineRule="auto"/>
            </w:pPr>
            <w:r>
              <w:rPr>
                <w:rFonts w:ascii="Calibri" w:hAnsi="Calibri"/>
                <w:b w:val="0"/>
                <w:i w:val="0"/>
                <w:color w:val="163A63"/>
                <w:sz w:val="17"/>
              </w:rPr>
              <w:t>tools\tests\RunLanguageManagerCoreTests.ps1</w:t>
            </w:r>
          </w:p>
        </w:tc>
        <w:tc>
          <w:tcPr>
            <w:tcW w:type="dxa" w:w="5160"/>
            <w:vAlign w:val="center"/>
          </w:tcPr>
          <w:p>
            <w:pPr>
              <w:spacing w:after="40" w:line="252" w:lineRule="auto"/>
            </w:pPr>
            <w:r>
              <w:rPr>
                <w:rFonts w:ascii="Calibri" w:hAnsi="Calibri"/>
                <w:b w:val="0"/>
                <w:i w:val="0"/>
                <w:color w:val="163A63"/>
                <w:sz w:val="17"/>
              </w:rPr>
              <w:t>Framework-neutral manager invariants.</w:t>
            </w:r>
          </w:p>
        </w:tc>
      </w:tr>
      <w:tr>
        <w:trPr>
          <w:cantSplit/>
        </w:trPr>
        <w:tc>
          <w:tcPr>
            <w:tcW w:type="dxa" w:w="4200"/>
            <w:vAlign w:val="center"/>
            <w:shd w:fill="F6F9FC"/>
          </w:tcPr>
          <w:p>
            <w:pPr>
              <w:spacing w:after="40" w:line="252" w:lineRule="auto"/>
            </w:pPr>
            <w:r>
              <w:rPr>
                <w:rFonts w:ascii="Calibri" w:hAnsi="Calibri"/>
                <w:b w:val="0"/>
                <w:i w:val="0"/>
                <w:color w:val="163A63"/>
                <w:sz w:val="17"/>
              </w:rPr>
              <w:t>tools\tests\RunFMXLanguageManagerTests.ps1</w:t>
            </w:r>
          </w:p>
        </w:tc>
        <w:tc>
          <w:tcPr>
            <w:tcW w:type="dxa" w:w="5160"/>
            <w:vAlign w:val="center"/>
            <w:shd w:fill="F6F9FC"/>
          </w:tcPr>
          <w:p>
            <w:pPr>
              <w:spacing w:after="40" w:line="252" w:lineRule="auto"/>
            </w:pPr>
            <w:r>
              <w:rPr>
                <w:rFonts w:ascii="Calibri" w:hAnsi="Calibri"/>
                <w:b w:val="0"/>
                <w:i w:val="0"/>
                <w:color w:val="163A63"/>
                <w:sz w:val="17"/>
              </w:rPr>
              <w:t>FMX lifecycle, switching, identities, and state.</w:t>
            </w:r>
          </w:p>
        </w:tc>
      </w:tr>
      <w:tr>
        <w:trPr>
          <w:cantSplit/>
        </w:trPr>
        <w:tc>
          <w:tcPr>
            <w:tcW w:type="dxa" w:w="4200"/>
            <w:vAlign w:val="center"/>
          </w:tcPr>
          <w:p>
            <w:pPr>
              <w:spacing w:after="40" w:line="252" w:lineRule="auto"/>
            </w:pPr>
            <w:r>
              <w:rPr>
                <w:rFonts w:ascii="Calibri" w:hAnsi="Calibri"/>
                <w:b w:val="0"/>
                <w:i w:val="0"/>
                <w:color w:val="163A63"/>
                <w:sz w:val="17"/>
              </w:rPr>
              <w:t>tools\tests\RunVCLLanguageManagerTests.ps1</w:t>
            </w:r>
          </w:p>
        </w:tc>
        <w:tc>
          <w:tcPr>
            <w:tcW w:type="dxa" w:w="5160"/>
            <w:vAlign w:val="center"/>
          </w:tcPr>
          <w:p>
            <w:pPr>
              <w:spacing w:after="40" w:line="252" w:lineRule="auto"/>
            </w:pPr>
            <w:r>
              <w:rPr>
                <w:rFonts w:ascii="Calibri" w:hAnsi="Calibri"/>
                <w:b w:val="0"/>
                <w:i w:val="0"/>
                <w:color w:val="163A63"/>
                <w:sz w:val="17"/>
              </w:rPr>
              <w:t>VCL lifecycle, modal/modeless boundary, switching, identities, and state.</w:t>
            </w:r>
          </w:p>
        </w:tc>
      </w:tr>
      <w:tr>
        <w:trPr>
          <w:cantSplit/>
        </w:trPr>
        <w:tc>
          <w:tcPr>
            <w:tcW w:type="dxa" w:w="4200"/>
            <w:vAlign w:val="center"/>
            <w:shd w:fill="F6F9FC"/>
          </w:tcPr>
          <w:p>
            <w:pPr>
              <w:spacing w:after="40" w:line="252" w:lineRule="auto"/>
            </w:pPr>
            <w:r>
              <w:rPr>
                <w:rFonts w:ascii="Calibri" w:hAnsi="Calibri"/>
                <w:b w:val="0"/>
                <w:i w:val="0"/>
                <w:color w:val="163A63"/>
                <w:sz w:val="17"/>
              </w:rPr>
              <w:t>tools\tests\RunRuntimeSmokeTests.ps1</w:t>
            </w:r>
          </w:p>
        </w:tc>
        <w:tc>
          <w:tcPr>
            <w:tcW w:type="dxa" w:w="5160"/>
            <w:vAlign w:val="center"/>
            <w:shd w:fill="F6F9FC"/>
          </w:tcPr>
          <w:p>
            <w:pPr>
              <w:spacing w:after="40" w:line="252" w:lineRule="auto"/>
            </w:pPr>
            <w:r>
              <w:rPr>
                <w:rFonts w:ascii="Calibri" w:hAnsi="Calibri"/>
                <w:b w:val="0"/>
                <w:i w:val="0"/>
                <w:color w:val="163A63"/>
                <w:sz w:val="17"/>
              </w:rPr>
              <w:t>Foundation, runtime, integration, build/deploy, and launch workflow.</w:t>
            </w:r>
          </w:p>
        </w:tc>
      </w:tr>
      <w:tr>
        <w:trPr>
          <w:cantSplit/>
        </w:trPr>
        <w:tc>
          <w:tcPr>
            <w:tcW w:type="dxa" w:w="4200"/>
            <w:vAlign w:val="center"/>
          </w:tcPr>
          <w:p>
            <w:pPr>
              <w:spacing w:after="40" w:line="252" w:lineRule="auto"/>
            </w:pPr>
            <w:r>
              <w:rPr>
                <w:rFonts w:ascii="Calibri" w:hAnsi="Calibri"/>
                <w:b w:val="0"/>
                <w:i w:val="0"/>
                <w:color w:val="163A63"/>
                <w:sz w:val="17"/>
              </w:rPr>
              <w:t>tools\tests\RunStudioLaunchSmokeTests.ps1</w:t>
            </w:r>
          </w:p>
        </w:tc>
        <w:tc>
          <w:tcPr>
            <w:tcW w:type="dxa" w:w="5160"/>
            <w:vAlign w:val="center"/>
          </w:tcPr>
          <w:p>
            <w:pPr>
              <w:spacing w:after="40" w:line="252" w:lineRule="auto"/>
            </w:pPr>
            <w:r>
              <w:rPr>
                <w:rFonts w:ascii="Calibri" w:hAnsi="Calibri"/>
                <w:b w:val="0"/>
                <w:i w:val="0"/>
                <w:color w:val="163A63"/>
                <w:sz w:val="17"/>
              </w:rPr>
              <w:t>Real Studio startup in all four configurations.</w:t>
            </w:r>
          </w:p>
        </w:tc>
      </w:tr>
      <w:tr>
        <w:trPr>
          <w:cantSplit/>
        </w:trPr>
        <w:tc>
          <w:tcPr>
            <w:tcW w:type="dxa" w:w="4200"/>
            <w:vAlign w:val="center"/>
            <w:shd w:fill="F6F9FC"/>
          </w:tcPr>
          <w:p>
            <w:pPr>
              <w:spacing w:after="40" w:line="252" w:lineRule="auto"/>
            </w:pPr>
            <w:r>
              <w:rPr>
                <w:rFonts w:ascii="Calibri" w:hAnsi="Calibri"/>
                <w:b w:val="0"/>
                <w:i w:val="0"/>
                <w:color w:val="163A63"/>
                <w:sz w:val="17"/>
              </w:rPr>
              <w:t>tools\tests\RunStudioSelfLocalizationSmokeTest.ps1</w:t>
            </w:r>
          </w:p>
        </w:tc>
        <w:tc>
          <w:tcPr>
            <w:tcW w:type="dxa" w:w="5160"/>
            <w:vAlign w:val="center"/>
            <w:shd w:fill="F6F9FC"/>
          </w:tcPr>
          <w:p>
            <w:pPr>
              <w:spacing w:after="40" w:line="252" w:lineRule="auto"/>
            </w:pPr>
            <w:r>
              <w:rPr>
                <w:rFonts w:ascii="Calibri" w:hAnsi="Calibri"/>
                <w:b w:val="0"/>
                <w:i w:val="0"/>
                <w:color w:val="163A63"/>
                <w:sz w:val="17"/>
              </w:rPr>
              <w:t>Italian Studio launch with preference/pack restoration.</w:t>
            </w:r>
          </w:p>
        </w:tc>
      </w:tr>
    </w:tbl>
    <w:p/>
    <w:p>
      <w:pPr>
        <w:pStyle w:val="Heading1"/>
      </w:pPr>
      <w:r>
        <w:t>17. Appendix B - What Each JSON File Is</w:t>
      </w:r>
    </w:p>
    <w:tbl>
      <w:tblPr>
        <w:tblStyle w:val="TableGrid"/>
        <w:jc w:val="center"/>
        <w:tblLook w:firstColumn="1" w:firstRow="1" w:lastColumn="0" w:lastRow="0" w:noHBand="0" w:noVBand="1" w:val="04A0"/>
        <w:tblW w:w="9360" w:type="dxa"/>
        <w:tblInd w:w="120" w:type="dxa"/>
        <w:tblLayout w:type="fixed"/>
        <w:tblCellMar>
          <w:top w:w="80" w:type="dxa"/>
          <w:bottom w:w="80" w:type="dxa"/>
          <w:start w:w="120" w:type="dxa"/>
          <w:end w:w="120" w:type="dxa"/>
        </w:tblCellMar>
      </w:tblPr>
      <w:tblGrid>
        <w:gridCol w:w="3400"/>
        <w:gridCol w:w="4060"/>
        <w:gridCol w:w="1900"/>
      </w:tblGrid>
      <w:tr>
        <w:trPr>
          <w:tblHeader w:val="true"/>
        </w:trPr>
        <w:tc>
          <w:tcPr>
            <w:tcW w:type="dxa" w:w="3400"/>
            <w:shd w:fill="234C80"/>
            <w:vAlign w:val="center"/>
          </w:tcPr>
          <w:p>
            <w:r>
              <w:rPr>
                <w:rFonts w:ascii="Calibri" w:hAnsi="Calibri"/>
                <w:b/>
                <w:i w:val="0"/>
                <w:color w:val="FFFFFF"/>
                <w:sz w:val="17"/>
              </w:rPr>
              <w:t>File</w:t>
            </w:r>
          </w:p>
        </w:tc>
        <w:tc>
          <w:tcPr>
            <w:tcW w:type="dxa" w:w="4060"/>
            <w:shd w:fill="234C80"/>
            <w:vAlign w:val="center"/>
          </w:tcPr>
          <w:p>
            <w:r>
              <w:rPr>
                <w:rFonts w:ascii="Calibri" w:hAnsi="Calibri"/>
                <w:b/>
                <w:i w:val="0"/>
                <w:color w:val="FFFFFF"/>
                <w:sz w:val="17"/>
              </w:rPr>
              <w:t>Role</w:t>
            </w:r>
          </w:p>
        </w:tc>
        <w:tc>
          <w:tcPr>
            <w:tcW w:type="dxa" w:w="1900"/>
            <w:shd w:fill="234C80"/>
            <w:vAlign w:val="center"/>
          </w:tcPr>
          <w:p>
            <w:r>
              <w:rPr>
                <w:rFonts w:ascii="Calibri" w:hAnsi="Calibri"/>
                <w:b/>
                <w:i w:val="0"/>
                <w:color w:val="FFFFFF"/>
                <w:sz w:val="17"/>
              </w:rPr>
              <w:t>Deployment</w:t>
            </w:r>
          </w:p>
        </w:tc>
      </w:tr>
      <w:tr>
        <w:trPr>
          <w:cantSplit/>
        </w:trPr>
        <w:tc>
          <w:tcPr>
            <w:tcW w:type="dxa" w:w="3400"/>
            <w:vAlign w:val="center"/>
          </w:tcPr>
          <w:p>
            <w:pPr>
              <w:spacing w:after="40" w:line="252" w:lineRule="auto"/>
            </w:pPr>
            <w:r>
              <w:rPr>
                <w:rFonts w:ascii="Calibri" w:hAnsi="Calibri"/>
                <w:b w:val="0"/>
                <w:i w:val="0"/>
                <w:color w:val="163A63"/>
                <w:sz w:val="17"/>
              </w:rPr>
              <w:t>Localization\Development\FMXPilot.&lt;locale&gt;.translation-project.json</w:t>
            </w:r>
          </w:p>
        </w:tc>
        <w:tc>
          <w:tcPr>
            <w:tcW w:type="dxa" w:w="4060"/>
            <w:vAlign w:val="center"/>
          </w:tcPr>
          <w:p>
            <w:pPr>
              <w:spacing w:after="40" w:line="252" w:lineRule="auto"/>
            </w:pPr>
            <w:r>
              <w:rPr>
                <w:rFonts w:ascii="Calibri" w:hAnsi="Calibri"/>
                <w:b w:val="0"/>
                <w:i w:val="0"/>
                <w:color w:val="163A63"/>
                <w:sz w:val="17"/>
              </w:rPr>
              <w:t>Lossless working catalog with source text, translated text, keys, checksums, statuses, origins, locale formats, runtime classification, and review data.</w:t>
            </w:r>
          </w:p>
        </w:tc>
        <w:tc>
          <w:tcPr>
            <w:tcW w:type="dxa" w:w="1900"/>
            <w:vAlign w:val="center"/>
          </w:tcPr>
          <w:p>
            <w:pPr>
              <w:spacing w:after="40" w:line="252" w:lineRule="auto"/>
            </w:pPr>
            <w:r>
              <w:rPr>
                <w:rFonts w:ascii="Calibri" w:hAnsi="Calibri"/>
                <w:b w:val="0"/>
                <w:i w:val="0"/>
                <w:color w:val="163A63"/>
                <w:sz w:val="17"/>
              </w:rPr>
              <w:t>Developer source workspace only.</w:t>
            </w:r>
          </w:p>
        </w:tc>
      </w:tr>
      <w:tr>
        <w:trPr>
          <w:cantSplit/>
        </w:trPr>
        <w:tc>
          <w:tcPr>
            <w:tcW w:type="dxa" w:w="3400"/>
            <w:vAlign w:val="center"/>
            <w:shd w:fill="F6F9FC"/>
          </w:tcPr>
          <w:p>
            <w:pPr>
              <w:spacing w:after="40" w:line="252" w:lineRule="auto"/>
            </w:pPr>
            <w:r>
              <w:rPr>
                <w:rFonts w:ascii="Calibri" w:hAnsi="Calibri"/>
                <w:b w:val="0"/>
                <w:i w:val="0"/>
                <w:color w:val="163A63"/>
                <w:sz w:val="17"/>
              </w:rPr>
              <w:t>Localization\Languages\&lt;locale&gt;.json</w:t>
            </w:r>
          </w:p>
        </w:tc>
        <w:tc>
          <w:tcPr>
            <w:tcW w:type="dxa" w:w="4060"/>
            <w:vAlign w:val="center"/>
            <w:shd w:fill="F6F9FC"/>
          </w:tcPr>
          <w:p>
            <w:pPr>
              <w:spacing w:after="40" w:line="252" w:lineRule="auto"/>
            </w:pPr>
            <w:r>
              <w:rPr>
                <w:rFonts w:ascii="Calibri" w:hAnsi="Calibri"/>
                <w:b w:val="0"/>
                <w:i w:val="0"/>
                <w:color w:val="163A63"/>
                <w:sz w:val="17"/>
              </w:rPr>
              <w:t>Compact, validated runtime pack with application identity, language metadata, locale settings, strings, and source catalog checksum.</w:t>
            </w:r>
          </w:p>
        </w:tc>
        <w:tc>
          <w:tcPr>
            <w:tcW w:type="dxa" w:w="1900"/>
            <w:vAlign w:val="center"/>
            <w:shd w:fill="F6F9FC"/>
          </w:tcPr>
          <w:p>
            <w:pPr>
              <w:spacing w:after="40" w:line="252" w:lineRule="auto"/>
            </w:pPr>
            <w:r>
              <w:rPr>
                <w:rFonts w:ascii="Calibri" w:hAnsi="Calibri"/>
                <w:b w:val="0"/>
                <w:i w:val="0"/>
                <w:color w:val="163A63"/>
                <w:sz w:val="17"/>
              </w:rPr>
              <w:t>Copy beside each executable.</w:t>
            </w:r>
          </w:p>
        </w:tc>
      </w:tr>
      <w:tr>
        <w:trPr>
          <w:cantSplit/>
        </w:trPr>
        <w:tc>
          <w:tcPr>
            <w:tcW w:type="dxa" w:w="3400"/>
            <w:vAlign w:val="center"/>
          </w:tcPr>
          <w:p>
            <w:pPr>
              <w:spacing w:after="40" w:line="252" w:lineRule="auto"/>
            </w:pPr>
            <w:r>
              <w:rPr>
                <w:rFonts w:ascii="Calibri" w:hAnsi="Calibri"/>
                <w:b w:val="0"/>
                <w:i w:val="0"/>
                <w:color w:val="163A63"/>
                <w:sz w:val="17"/>
              </w:rPr>
              <w:t>export\component-integration\FMXPilot\component-integration.json</w:t>
            </w:r>
          </w:p>
        </w:tc>
        <w:tc>
          <w:tcPr>
            <w:tcW w:type="dxa" w:w="4060"/>
            <w:vAlign w:val="center"/>
          </w:tcPr>
          <w:p>
            <w:pPr>
              <w:spacing w:after="40" w:line="252" w:lineRule="auto"/>
            </w:pPr>
            <w:r>
              <w:rPr>
                <w:rFonts w:ascii="Calibri" w:hAnsi="Calibri"/>
                <w:b w:val="0"/>
                <w:i w:val="0"/>
                <w:color w:val="163A63"/>
                <w:sz w:val="17"/>
              </w:rPr>
              <w:t>Generated kit manifest for application/framework/component/language/form-root setup.</w:t>
            </w:r>
          </w:p>
        </w:tc>
        <w:tc>
          <w:tcPr>
            <w:tcW w:type="dxa" w:w="1900"/>
            <w:vAlign w:val="center"/>
          </w:tcPr>
          <w:p>
            <w:pPr>
              <w:spacing w:after="40" w:line="252" w:lineRule="auto"/>
            </w:pPr>
            <w:r>
              <w:rPr>
                <w:rFonts w:ascii="Calibri" w:hAnsi="Calibri"/>
                <w:b w:val="0"/>
                <w:i w:val="0"/>
                <w:color w:val="163A63"/>
                <w:sz w:val="17"/>
              </w:rPr>
              <w:t>Developer reference; not required by runtime manager.</w:t>
            </w:r>
          </w:p>
        </w:tc>
      </w:tr>
      <w:tr>
        <w:trPr>
          <w:cantSplit/>
        </w:trPr>
        <w:tc>
          <w:tcPr>
            <w:tcW w:type="dxa" w:w="3400"/>
            <w:vAlign w:val="center"/>
            <w:shd w:fill="F6F9FC"/>
          </w:tcPr>
          <w:p>
            <w:pPr>
              <w:spacing w:after="40" w:line="252" w:lineRule="auto"/>
            </w:pPr>
            <w:r>
              <w:rPr>
                <w:rFonts w:ascii="Calibri" w:hAnsi="Calibri"/>
                <w:b w:val="0"/>
                <w:i w:val="0"/>
                <w:color w:val="163A63"/>
                <w:sz w:val="17"/>
              </w:rPr>
              <w:t>%LOCALAPPDATA%\FMXPilot\language.ini</w:t>
            </w:r>
          </w:p>
        </w:tc>
        <w:tc>
          <w:tcPr>
            <w:tcW w:type="dxa" w:w="4060"/>
            <w:vAlign w:val="center"/>
            <w:shd w:fill="F6F9FC"/>
          </w:tcPr>
          <w:p>
            <w:pPr>
              <w:spacing w:after="40" w:line="252" w:lineRule="auto"/>
            </w:pPr>
            <w:r>
              <w:rPr>
                <w:rFonts w:ascii="Calibri" w:hAnsi="Calibri"/>
                <w:b w:val="0"/>
                <w:i w:val="0"/>
                <w:color w:val="163A63"/>
                <w:sz w:val="17"/>
              </w:rPr>
              <w:t>Per-user last-selected locale.</w:t>
            </w:r>
          </w:p>
        </w:tc>
        <w:tc>
          <w:tcPr>
            <w:tcW w:type="dxa" w:w="1900"/>
            <w:vAlign w:val="center"/>
            <w:shd w:fill="F6F9FC"/>
          </w:tcPr>
          <w:p>
            <w:pPr>
              <w:spacing w:after="40" w:line="252" w:lineRule="auto"/>
            </w:pPr>
            <w:r>
              <w:rPr>
                <w:rFonts w:ascii="Calibri" w:hAnsi="Calibri"/>
                <w:b w:val="0"/>
                <w:i w:val="0"/>
                <w:color w:val="163A63"/>
                <w:sz w:val="17"/>
              </w:rPr>
              <w:t>Created at runtime; never package as an application asset.</w:t>
            </w:r>
          </w:p>
        </w:tc>
      </w:tr>
    </w:tbl>
    <w:p/>
    <w:tbl>
      <w:tblPr>
        <w:jc w:val="center"/>
        <w:tblLook w:firstColumn="1" w:firstRow="1" w:lastColumn="0" w:lastRow="0" w:noHBand="0" w:noVBand="1" w:val="04A0"/>
        <w:tblW w:w="9360" w:type="dxa"/>
        <w:tblInd w:w="120" w:type="dxa"/>
        <w:tblLayout w:type="fixed"/>
        <w:tblCellMar>
          <w:top w:w="80" w:type="dxa"/>
          <w:bottom w:w="80" w:type="dxa"/>
          <w:start w:w="120" w:type="dxa"/>
          <w:end w:w="120" w:type="dxa"/>
        </w:tblCellMar>
      </w:tblPr>
      <w:tblGrid>
        <w:gridCol w:w="9360"/>
      </w:tblGrid>
      <w:tr>
        <w:trPr>
          <w:cantSplit/>
          <w:tblHeader w:val="true"/>
        </w:trPr>
        <w:tc>
          <w:tcPr>
            <w:tcW w:type="dxa" w:w="9360"/>
            <w:shd w:fill="EAF3FF"/>
            <w:vAlign w:val="center"/>
          </w:tcPr>
          <w:p>
            <w:pPr>
              <w:pStyle w:val="Callout"/>
            </w:pPr>
            <w:r>
              <w:rPr>
                <w:b/>
                <w:color w:val="234C80"/>
              </w:rPr>
              <w:t xml:space="preserve">JSON is the product format. </w:t>
            </w:r>
            <w:r>
              <w:t>CSV is optional translator interchange only. Automatic provider translation reads and updates the in-memory development catalog and saves the JSON catalog in place; the runtime consumes exported JSON packs.</w:t>
            </w:r>
          </w:p>
        </w:tc>
      </w:tr>
    </w:tbl>
    <w:p>
      <w:pPr>
        <w:pStyle w:val="Heading1"/>
      </w:pPr>
      <w:r>
        <w:t>18. Appendix C - Current Verified Baseline</w:t>
      </w:r>
    </w:p>
    <w:p>
      <w:r>
        <w:t>As of August 11, 2026, commit 6ced725 had passed the complete Phase 10 release validation without Delphi running: current Studio executables in all four supported build folders, package outputs for Win32/Win64 Debug/Release, design streaming, component/lifecycle/runtime/integration tests, all four Studio form-streaming and launch tests, and Studio self-localization. The clean pristine GA4 reference repository remained the comparison source; older automatic-source-integration test folders remained excluded from the clean component acceptance path.</w:t>
      </w:r>
    </w:p>
    <w:p>
      <w:r>
        <w:t>This baseline is evidence, not a substitute for rerunning the tests. Record new executable timestamps, release-gate output, provider results, and target Git diffs for each acceptance session.</w:t>
      </w:r>
    </w:p>
    <w:sectPr w:rsidR="00FC693F" w:rsidRPr="0006063C" w:rsidSect="00034616">
      <w:headerReference w:type="default" r:id="rId14"/>
      <w:footerReference w:type="default" r:id="rId15"/>
      <w:pgSz w:w="12240" w:h="15840"/>
      <w:pgMar w:top="1440" w:right="1440" w:bottom="1440" w:left="1440" w:header="708" w:footer="708" w:gutter="0"/>
      <w:cols w:space="720"/>
      <w:docGrid w:linePitch="360"/>
      <w:pgNumType w:fmt="decimal" w:start="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ptos" w:hAnsi="Aptos"/>
        <w:color w:val="5D7693"/>
        <w:sz w:val="16"/>
      </w:rPr>
      <w:t xml:space="preserve">Page </w:t>
    </w:r>
    <w:r>
      <w:rPr>
        <w:rFonts w:ascii="Aptos" w:hAnsi="Aptos"/>
        <w:color w:val="5D7693"/>
        <w:sz w:val="16"/>
      </w:rPr>
      <w:fldChar w:fldCharType="begin"/>
      <w:instrText xml:space="preserve">PAGE</w:instrText>
      <w:fldChar w:fldCharType="separate"/>
      <w:t>The table of contents is refreshed during document finalization.</w:t>
      <w:fldChar w:fldCharType="end"/>
    </w:r>
  </w:p>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ptos" w:hAnsi="Aptos"/>
        <w:color w:val="5D7693"/>
        <w:sz w:val="16"/>
      </w:rPr>
      <w:t xml:space="preserve">Page </w:t>
    </w:r>
    <w:r>
      <w:rPr>
        <w:rFonts w:ascii="Aptos" w:hAnsi="Aptos"/>
        <w:color w:val="5D7693"/>
        <w:sz w:val="16"/>
      </w:rPr>
      <w:fldChar w:fldCharType="begin"/>
      <w:instrText xml:space="preserve">PAGE</w:instrText>
      <w:fldChar w:fldCharType="separate"/>
      <w:t>The table of contents is refreshed during document finalization.</w: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rFonts w:ascii="Aptos" w:hAnsi="Aptos"/>
        <w:color w:val="5D7693"/>
        <w:sz w:val="16"/>
      </w:rPr>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rFonts w:ascii="Aptos" w:hAnsi="Aptos"/>
        <w:color w:val="5D7693"/>
        <w:sz w:val="16"/>
      </w:rPr>
      <w:t>Complete Test Guide</w:t>
    </w:r>
  </w:p>
</w:hdr>
</file>

<file path=word/header3.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rFonts w:ascii="Aptos" w:hAnsi="Aptos"/>
        <w:color w:val="5D7693"/>
        <w:sz w:val="16"/>
      </w:rPr>
      <w:t>Complete Test Guide</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 w:numId="10">
    <w:abstractNumId w:val="7"/>
    <w:lvlOverride w:ilvl="0">
      <w:startOverride w:val="1"/>
    </w:lvlOverride>
  </w:num>
  <w:num w:numId="11">
    <w:abstractNumId w:val="7"/>
    <w:lvlOverride w:ilvl="0">
      <w:startOverride w:val="1"/>
    </w:lvlOverride>
  </w:num>
  <w:num w:numId="12">
    <w:abstractNumId w:val="7"/>
    <w:lvlOverride w:ilvl="0">
      <w:startOverride w:val="1"/>
    </w:lvlOverride>
  </w:num>
  <w:num w:numId="13">
    <w:abstractNumId w:val="7"/>
    <w:lvlOverride w:ilvl="0">
      <w:startOverride w:val="1"/>
    </w:lvlOverride>
  </w:num>
  <w:num w:numId="14">
    <w:abstractNumId w:val="7"/>
    <w:lvlOverride w:ilvl="0">
      <w:startOverride w:val="1"/>
    </w:lvlOverride>
  </w:num>
  <w:num w:numId="15">
    <w:abstractNumId w:val="7"/>
    <w:lvlOverride w:ilvl="0">
      <w:startOverride w:val="1"/>
    </w:lvlOverride>
  </w:num>
  <w:num w:numId="16">
    <w:abstractNumId w:val="7"/>
    <w:lvlOverride w:ilvl="0">
      <w:startOverride w:val="1"/>
    </w:lvlOverride>
  </w:num>
  <w:num w:numId="17">
    <w:abstractNumId w:val="7"/>
    <w:lvlOverride w:ilvl="0">
      <w:startOverride w:val="1"/>
    </w:lvlOverride>
  </w:num>
  <w:num w:numId="18">
    <w:abstractNumId w:val="7"/>
    <w:lvlOverride w:ilvl="0">
      <w:startOverride w:val="1"/>
    </w:lvlOverride>
  </w:num>
  <w:num w:numId="19">
    <w:abstractNumId w:val="7"/>
    <w:lvlOverride w:ilvl="0">
      <w:startOverride w:val="1"/>
    </w:lvlOverride>
  </w:num>
  <w:num w:numId="20">
    <w:abstractNumId w:val="7"/>
    <w:lvlOverride w:ilvl="0">
      <w:startOverride w:val="1"/>
    </w:lvlOverride>
  </w:num>
  <w:num w:numId="21">
    <w:abstractNumId w:val="7"/>
    <w:lvlOverride w:ilvl="0">
      <w:startOverride w:val="1"/>
    </w:lvlOverride>
  </w:num>
  <w:num w:numId="22">
    <w:abstractNumId w:val="7"/>
    <w:lvlOverride w:ilvl="0">
      <w:startOverride w:val="1"/>
    </w:lvlOverride>
  </w:num>
  <w:num w:numId="23">
    <w:abstractNumId w:val="7"/>
    <w:lvlOverride w:ilvl="0">
      <w:startOverride w:val="1"/>
    </w:lvlOverride>
  </w:num>
  <w:num w:numId="24">
    <w:abstractNumId w:val="7"/>
    <w:lvlOverride w:ilvl="0">
      <w:startOverride w:val="1"/>
    </w:lvlOverride>
  </w:num>
  <w:num w:numId="25">
    <w:abstractNumId w:val="7"/>
    <w:lvlOverride w:ilvl="0">
      <w:startOverride w:val="1"/>
    </w:lvlOverride>
  </w:num>
  <w:num w:numId="26">
    <w:abstractNumId w:val="7"/>
    <w:lvlOverride w:ilvl="0">
      <w:startOverride w:val="1"/>
    </w:lvlOverride>
  </w:num>
  <w:num w:numId="27">
    <w:abstractNumId w:val="7"/>
    <w:lvlOverride w:ilvl="0">
      <w:startOverride w:val="1"/>
    </w:lvlOverride>
  </w:num>
  <w:num w:numId="28">
    <w:abstractNumId w:val="7"/>
    <w:lvlOverride w:ilvl="0">
      <w:startOverride w:val="1"/>
    </w:lvlOverride>
  </w:num>
  <w:num w:numId="29">
    <w:abstractNumId w:val="7"/>
    <w:lvlOverride w:ilvl="0">
      <w:startOverride w:val="1"/>
    </w:lvlOverride>
  </w:num>
  <w:num w:numId="30">
    <w:abstractNumId w:val="7"/>
    <w:lvlOverride w:ilvl="0">
      <w:startOverride w:val="1"/>
    </w:lvlOverride>
  </w:num>
  <w:num w:numId="31">
    <w:abstractNumId w:val="7"/>
    <w:lvlOverride w:ilvl="0">
      <w:startOverride w:val="1"/>
    </w:lvlOverride>
  </w:num>
  <w:num w:numId="32">
    <w:abstractNumId w:val="7"/>
    <w:lvlOverride w:ilvl="0">
      <w:startOverride w:val="1"/>
    </w:lvlOverride>
  </w:num>
  <w:num w:numId="33">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300" w:lineRule="auto"/>
    </w:pPr>
    <w:rPr>
      <w:rFonts w:ascii="Calibri" w:hAnsi="Calibri"/>
      <w:color w:val="26384A"/>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60" w:after="200"/>
      <w:outlineLvl w:val="0"/>
    </w:pPr>
    <w:rPr>
      <w:rFonts w:asciiTheme="majorHAnsi" w:eastAsiaTheme="majorEastAsia" w:hAnsiTheme="majorHAnsi" w:cstheme="majorBidi" w:ascii="Calibri" w:hAnsi="Calibri"/>
      <w:b/>
      <w:bCs/>
      <w:color w:val="2E74B5"/>
      <w:sz w:val="32"/>
      <w:szCs w:val="28"/>
    </w:rPr>
  </w:style>
  <w:style w:type="paragraph" w:styleId="Heading2">
    <w:name w:val="heading 2"/>
    <w:basedOn w:val="Normal"/>
    <w:next w:val="Normal"/>
    <w:link w:val="Heading2Char"/>
    <w:uiPriority w:val="9"/>
    <w:unhideWhenUsed/>
    <w:qFormat/>
    <w:rsid w:val="00FC693F"/>
    <w:pPr>
      <w:keepNext/>
      <w:keepLines/>
      <w:spacing w:before="280" w:after="140"/>
      <w:outlineLvl w:val="1"/>
    </w:pPr>
    <w:rPr>
      <w:rFonts w:asciiTheme="majorHAnsi" w:eastAsiaTheme="majorEastAsia" w:hAnsiTheme="majorHAnsi" w:cstheme="majorBidi" w:ascii="Calibri" w:hAnsi="Calibri"/>
      <w:b/>
      <w:bCs/>
      <w:color w:val="2E74B5"/>
      <w:sz w:val="26"/>
      <w:szCs w:val="26"/>
    </w:rPr>
  </w:style>
  <w:style w:type="paragraph" w:styleId="Heading3">
    <w:name w:val="heading 3"/>
    <w:basedOn w:val="Normal"/>
    <w:next w:val="Normal"/>
    <w:link w:val="Heading3Char"/>
    <w:uiPriority w:val="9"/>
    <w:unhideWhenUsed/>
    <w:qFormat/>
    <w:rsid w:val="00FC693F"/>
    <w:pPr>
      <w:keepNext/>
      <w:keepLines/>
      <w:spacing w:before="200" w:after="100"/>
      <w:outlineLvl w:val="2"/>
    </w:pPr>
    <w:rPr>
      <w:rFonts w:asciiTheme="majorHAnsi" w:eastAsiaTheme="majorEastAsia" w:hAnsiTheme="majorHAnsi" w:cstheme="majorBidi" w:ascii="Calibri" w:hAnsi="Calibri"/>
      <w:b/>
      <w:bCs/>
      <w:color w:val="1F4D78"/>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keepNext/>
      <w:pBdr>
        <w:bottom w:val="single" w:sz="8" w:space="4" w:color="4F81BD" w:themeColor="accent1"/>
      </w:pBdr>
      <w:spacing w:after="160" w:line="240" w:lineRule="auto" w:before="0"/>
      <w:contextualSpacing/>
    </w:pPr>
    <w:rPr>
      <w:rFonts w:asciiTheme="majorHAnsi" w:eastAsiaTheme="majorEastAsia" w:hAnsiTheme="majorHAnsi" w:cstheme="majorBidi" w:ascii="Calibri" w:hAnsi="Calibri"/>
      <w:b/>
      <w:color w:val="234C80"/>
      <w:spacing w:val="5"/>
      <w:kern w:val="28"/>
      <w:sz w:val="58"/>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keepNext/>
      <w:numPr>
        <w:ilvl w:val="1"/>
      </w:numPr>
      <w:spacing w:before="0" w:after="160"/>
    </w:pPr>
    <w:rPr>
      <w:rFonts w:asciiTheme="majorHAnsi" w:eastAsiaTheme="majorEastAsia" w:hAnsiTheme="majorHAnsi" w:cstheme="majorBidi" w:ascii="Calibri" w:hAnsi="Calibri"/>
      <w:b w:val="0"/>
      <w:i/>
      <w:iCs/>
      <w:color w:val="5D7693"/>
      <w:spacing w:val="15"/>
      <w:sz w:val="30"/>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after="80" w:line="300" w:lineRule="auto"/>
      <w:ind w:left="540" w:hanging="271"/>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spacing w:after="80" w:line="300" w:lineRule="auto"/>
      <w:ind w:left="540" w:hanging="271"/>
      <w:contextualSpacing/>
    </w:pPr>
    <w:rPr>
      <w:rFonts w:ascii="Calibri" w:hAnsi="Calibri"/>
      <w:sz w:val="22"/>
    </w:r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keepNext/>
      <w:spacing w:before="360" w:after="200"/>
      <w:outlineLvl w:val="9"/>
    </w:pPr>
    <w:rPr>
      <w:rFonts w:ascii="Calibri" w:hAnsi="Calibri"/>
      <w:b/>
      <w:color w:val="2E74B5"/>
      <w:sz w:val="32"/>
    </w:r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CodeBlock">
    <w:name w:val="Code Block"/>
    <w:pPr>
      <w:spacing w:before="60" w:after="100"/>
      <w:ind w:left="288" w:right="288"/>
    </w:pPr>
    <w:rPr>
      <w:rFonts w:ascii="Cascadia Mono" w:hAnsi="Cascadia Mono"/>
      <w:color w:val="163A63"/>
      <w:sz w:val="16"/>
    </w:rPr>
  </w:style>
  <w:style w:type="paragraph" w:customStyle="1" w:styleId="Callout">
    <w:name w:val="Callout"/>
    <w:pPr>
      <w:spacing w:before="80" w:after="120"/>
      <w:ind w:left="288" w:right="288"/>
    </w:pPr>
    <w:rPr>
      <w:rFonts w:ascii="Aptos" w:hAnsi="Aptos"/>
      <w:color w:val="163A63"/>
      <w:sz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image" Target="media/image1.png"/><Relationship Id="rId12" Type="http://schemas.openxmlformats.org/officeDocument/2006/relationships/header" Target="header2.xml"/><Relationship Id="rId13" Type="http://schemas.openxmlformats.org/officeDocument/2006/relationships/footer" Target="footer2.xml"/><Relationship Id="rId14" Type="http://schemas.openxmlformats.org/officeDocument/2006/relationships/header" Target="header3.xml"/><Relationship Id="rId15"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Delphi App Translation Studio Complete Test Guide</dc:title>
  <dc:subject>Delphi App Translation Studio documentation</dc:subject>
  <dc:creator/>
  <cp:keywords>Delphi, VCL, FireMonkey, FMX, localization, translation</cp:keywords>
  <dc:description>generated by python-docx</dc:description>
  <cp:lastModifiedBy/>
  <cp:revision>1</cp:revision>
  <dcterms:created xsi:type="dcterms:W3CDTF">2013-12-23T23:15:00Z</dcterms:created>
  <dcterms:modified xsi:type="dcterms:W3CDTF">2013-12-23T23:15:00Z</dcterms:modified>
  <cp:category/>
</cp:coreProperties>
</file>